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28B0" w14:textId="2035FB2A" w:rsidR="00A351D7" w:rsidRDefault="00A351D7" w:rsidP="00A351D7">
      <w:pPr>
        <w:pStyle w:val="CRCoverPage"/>
        <w:tabs>
          <w:tab w:val="right" w:pos="9639"/>
        </w:tabs>
        <w:spacing w:after="0"/>
        <w:rPr>
          <w:b/>
          <w:i/>
          <w:noProof/>
          <w:sz w:val="28"/>
        </w:rPr>
      </w:pPr>
      <w:bookmarkStart w:id="0" w:name="_Hlk61177671"/>
      <w:r>
        <w:rPr>
          <w:b/>
          <w:noProof/>
          <w:sz w:val="24"/>
        </w:rPr>
        <w:t>3GPP TSG-RAN4 Meeting #102-e</w:t>
      </w:r>
      <w:r>
        <w:rPr>
          <w:b/>
          <w:i/>
          <w:noProof/>
          <w:sz w:val="28"/>
        </w:rPr>
        <w:tab/>
        <w:t>R4-220</w:t>
      </w:r>
      <w:r w:rsidR="00437679">
        <w:rPr>
          <w:b/>
          <w:i/>
          <w:noProof/>
          <w:sz w:val="28"/>
        </w:rPr>
        <w:t>5045</w:t>
      </w:r>
    </w:p>
    <w:p w14:paraId="4A2BDFF9" w14:textId="77777777" w:rsidR="00A351D7" w:rsidRDefault="00A351D7" w:rsidP="00A351D7">
      <w:pPr>
        <w:pStyle w:val="Header"/>
        <w:tabs>
          <w:tab w:val="right" w:pos="9781"/>
          <w:tab w:val="right" w:pos="13323"/>
        </w:tabs>
        <w:outlineLvl w:val="0"/>
        <w:rPr>
          <w:sz w:val="24"/>
        </w:rPr>
      </w:pPr>
      <w:r w:rsidRPr="00467DC3">
        <w:rPr>
          <w:sz w:val="24"/>
        </w:rPr>
        <w:t>Electronic meeting,</w:t>
      </w:r>
      <w:r>
        <w:rPr>
          <w:sz w:val="24"/>
        </w:rPr>
        <w:t xml:space="preserve"> February 21 – March 3, 2022</w:t>
      </w:r>
      <w:bookmarkEnd w:id="0"/>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67B77F5C" w:rsidR="00744830" w:rsidRPr="00467DC3" w:rsidRDefault="00744830" w:rsidP="00744830">
      <w:r w:rsidRPr="00467DC3">
        <w:rPr>
          <w:b/>
        </w:rPr>
        <w:t>Title:</w:t>
      </w:r>
      <w:r w:rsidRPr="00467DC3">
        <w:tab/>
      </w:r>
      <w:r w:rsidRPr="00467DC3">
        <w:tab/>
      </w:r>
      <w:r w:rsidRPr="00467DC3">
        <w:tab/>
      </w:r>
      <w:r w:rsidR="000E0E1A" w:rsidRPr="007C7160">
        <w:rPr>
          <w:lang w:val="en-US"/>
        </w:rPr>
        <w:t xml:space="preserve">NTN </w:t>
      </w:r>
      <w:r w:rsidR="007955A8">
        <w:rPr>
          <w:lang w:val="en-US"/>
        </w:rPr>
        <w:t>–</w:t>
      </w:r>
      <w:r w:rsidR="0026320E">
        <w:rPr>
          <w:lang w:val="en-US"/>
        </w:rPr>
        <w:t xml:space="preserve"> </w:t>
      </w:r>
      <w:r w:rsidR="00C37D9A">
        <w:rPr>
          <w:lang w:val="en-US"/>
        </w:rPr>
        <w:t>SAN ACS and case 6</w:t>
      </w:r>
      <w:r w:rsidR="00A0748D">
        <w:rPr>
          <w:lang w:val="en-US"/>
        </w:rPr>
        <w:t xml:space="preserve"> – NB-IoT coexistence</w:t>
      </w:r>
    </w:p>
    <w:p w14:paraId="38171D17" w14:textId="60D324B6" w:rsidR="00744830" w:rsidRPr="00467DC3" w:rsidRDefault="00744830" w:rsidP="00744830">
      <w:r w:rsidRPr="00467DC3">
        <w:rPr>
          <w:b/>
        </w:rPr>
        <w:t>Agenda item:</w:t>
      </w:r>
      <w:r w:rsidRPr="00467DC3">
        <w:tab/>
      </w:r>
      <w:r w:rsidRPr="00467DC3">
        <w:tab/>
      </w:r>
      <w:r w:rsidR="00904CE1">
        <w:t>10.13.2.3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7E46289" w14:textId="62313FF3" w:rsidR="009A5BA7" w:rsidRDefault="009A5BA7" w:rsidP="009A5BA7">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sidR="0081416A">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 xml:space="preserve">It has </w:t>
      </w:r>
      <w:r w:rsidRPr="006D00A4">
        <w:rPr>
          <w:rFonts w:eastAsia="MS Mincho"/>
          <w:lang w:val="en-US" w:eastAsia="ja-JP"/>
        </w:rPr>
        <w:t xml:space="preserve">been revised in last RAN#94-e meeting </w:t>
      </w:r>
      <w:r w:rsidRPr="006D00A4">
        <w:rPr>
          <w:rFonts w:eastAsia="MS Mincho"/>
          <w:lang w:val="en-US" w:eastAsia="ja-JP"/>
        </w:rPr>
        <w:fldChar w:fldCharType="begin"/>
      </w:r>
      <w:r w:rsidRPr="006D00A4">
        <w:rPr>
          <w:rFonts w:eastAsia="MS Mincho"/>
          <w:lang w:val="en-US" w:eastAsia="ja-JP"/>
        </w:rPr>
        <w:instrText xml:space="preserve"> REF _Ref61295180 \r \h  \* MERGEFORMAT </w:instrText>
      </w:r>
      <w:r w:rsidRPr="006D00A4">
        <w:rPr>
          <w:rFonts w:eastAsia="MS Mincho"/>
          <w:lang w:val="en-US" w:eastAsia="ja-JP"/>
        </w:rPr>
      </w:r>
      <w:r w:rsidRPr="006D00A4">
        <w:rPr>
          <w:rFonts w:eastAsia="MS Mincho"/>
          <w:lang w:val="en-US" w:eastAsia="ja-JP"/>
        </w:rPr>
        <w:fldChar w:fldCharType="separate"/>
      </w:r>
      <w:r w:rsidR="0081416A">
        <w:rPr>
          <w:rFonts w:eastAsia="MS Mincho"/>
          <w:lang w:val="en-US" w:eastAsia="ja-JP"/>
        </w:rPr>
        <w:t>[2]</w:t>
      </w:r>
      <w:r w:rsidRPr="006D00A4">
        <w:rPr>
          <w:rFonts w:eastAsia="MS Mincho"/>
          <w:lang w:val="en-US" w:eastAsia="ja-JP"/>
        </w:rPr>
        <w:fldChar w:fldCharType="end"/>
      </w:r>
      <w:r w:rsidRPr="006D00A4">
        <w:rPr>
          <w:rFonts w:eastAsia="MS Mincho"/>
          <w:lang w:val="en-US" w:eastAsia="ja-JP"/>
        </w:rPr>
        <w:t>.</w:t>
      </w:r>
    </w:p>
    <w:p w14:paraId="3FA5074C" w14:textId="6E48444A" w:rsidR="009A5BA7" w:rsidRDefault="009A5BA7" w:rsidP="009A5BA7">
      <w:pPr>
        <w:shd w:val="clear" w:color="auto" w:fill="FFFFFF"/>
        <w:rPr>
          <w:rFonts w:eastAsia="MS Mincho"/>
          <w:lang w:val="en-US" w:eastAsia="ja-JP"/>
        </w:rPr>
      </w:pPr>
      <w:r w:rsidRPr="009B397B">
        <w:rPr>
          <w:rFonts w:eastAsia="MS Mincho"/>
          <w:lang w:val="en-US" w:eastAsia="ja-JP"/>
        </w:rPr>
        <w:t xml:space="preserve">In last RAN4 meeting, </w:t>
      </w:r>
      <w:r w:rsidR="00630050">
        <w:rPr>
          <w:rFonts w:eastAsia="MS Mincho"/>
          <w:lang w:val="en-US" w:eastAsia="ja-JP"/>
        </w:rPr>
        <w:t>it was difficult to conclude on case 6 and so on SAN ACS. This contribution is further addressing case 6, proposing a conclusion on SAN ACS.</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666B5175" w14:textId="3FAC81B5" w:rsidR="00520AFE" w:rsidRDefault="00630050" w:rsidP="00E06DB0">
      <w:pPr>
        <w:pStyle w:val="Heading2"/>
        <w:rPr>
          <w:lang w:eastAsia="zh-CN"/>
        </w:rPr>
      </w:pPr>
      <w:r>
        <w:rPr>
          <w:lang w:eastAsia="zh-CN"/>
        </w:rPr>
        <w:t>Background</w:t>
      </w:r>
    </w:p>
    <w:p w14:paraId="03453E67" w14:textId="42BACA5F" w:rsidR="00FC311E" w:rsidRPr="003836B3" w:rsidRDefault="00FC311E" w:rsidP="00FC311E">
      <w:pPr>
        <w:spacing w:after="120"/>
        <w:rPr>
          <w:rFonts w:eastAsia="MS Mincho"/>
          <w:lang w:val="en-US" w:eastAsia="ja-JP"/>
        </w:rPr>
      </w:pPr>
      <w:r w:rsidRPr="003836B3">
        <w:rPr>
          <w:rFonts w:eastAsia="MS Mincho"/>
          <w:lang w:val="en-US" w:eastAsia="ja-JP"/>
        </w:rPr>
        <w:t xml:space="preserve">In last </w:t>
      </w:r>
      <w:r w:rsidR="003836B3" w:rsidRPr="003836B3">
        <w:rPr>
          <w:rFonts w:eastAsia="MS Mincho"/>
          <w:lang w:val="en-US" w:eastAsia="ja-JP"/>
        </w:rPr>
        <w:t>RAN4#101-bis-e meeting, in the last GTW session, the following agreement was captured</w:t>
      </w:r>
      <w:r w:rsidR="00D84D8D">
        <w:rPr>
          <w:rFonts w:eastAsia="MS Mincho"/>
          <w:lang w:val="en-US" w:eastAsia="ja-JP"/>
        </w:rPr>
        <w:t xml:space="preserve"> (</w:t>
      </w:r>
      <w:r w:rsidR="00D84D8D">
        <w:rPr>
          <w:rFonts w:eastAsia="MS Mincho"/>
          <w:lang w:val="en-US" w:eastAsia="ja-JP"/>
        </w:rPr>
        <w:fldChar w:fldCharType="begin"/>
      </w:r>
      <w:r w:rsidR="00D84D8D">
        <w:rPr>
          <w:rFonts w:eastAsia="MS Mincho"/>
          <w:lang w:val="en-US" w:eastAsia="ja-JP"/>
        </w:rPr>
        <w:instrText xml:space="preserve"> REF _Ref95406940 \r \h </w:instrText>
      </w:r>
      <w:r w:rsidR="00D84D8D">
        <w:rPr>
          <w:rFonts w:eastAsia="MS Mincho"/>
          <w:lang w:val="en-US" w:eastAsia="ja-JP"/>
        </w:rPr>
      </w:r>
      <w:r w:rsidR="00D84D8D">
        <w:rPr>
          <w:rFonts w:eastAsia="MS Mincho"/>
          <w:lang w:val="en-US" w:eastAsia="ja-JP"/>
        </w:rPr>
        <w:fldChar w:fldCharType="separate"/>
      </w:r>
      <w:r w:rsidR="0081416A">
        <w:rPr>
          <w:rFonts w:eastAsia="MS Mincho"/>
          <w:lang w:val="en-US" w:eastAsia="ja-JP"/>
        </w:rPr>
        <w:t>[3]</w:t>
      </w:r>
      <w:r w:rsidR="00D84D8D">
        <w:rPr>
          <w:rFonts w:eastAsia="MS Mincho"/>
          <w:lang w:val="en-US" w:eastAsia="ja-JP"/>
        </w:rPr>
        <w:fldChar w:fldCharType="end"/>
      </w:r>
      <w:r w:rsidR="00D84D8D">
        <w:rPr>
          <w:rFonts w:eastAsia="MS Mincho"/>
          <w:lang w:val="en-US" w:eastAsia="ja-JP"/>
        </w:rPr>
        <w:t>)</w:t>
      </w:r>
      <w:r w:rsidR="003836B3" w:rsidRPr="003836B3">
        <w:rPr>
          <w:rFonts w:eastAsia="MS Mincho"/>
          <w:lang w:val="en-US" w:eastAsia="ja-JP"/>
        </w:rPr>
        <w:t>:</w:t>
      </w:r>
    </w:p>
    <w:p w14:paraId="19917F1D" w14:textId="168C3A32" w:rsidR="00FC311E" w:rsidRPr="00B32168" w:rsidRDefault="00FC311E" w:rsidP="003836B3">
      <w:pPr>
        <w:pBdr>
          <w:top w:val="single" w:sz="4" w:space="1" w:color="000000" w:themeColor="text1"/>
          <w:left w:val="single" w:sz="4" w:space="4" w:color="000000" w:themeColor="text1"/>
          <w:bottom w:val="single" w:sz="4" w:space="1" w:color="000000" w:themeColor="text1"/>
          <w:right w:val="single" w:sz="4" w:space="4" w:color="000000" w:themeColor="text1"/>
        </w:pBdr>
        <w:spacing w:after="120"/>
        <w:rPr>
          <w:rFonts w:ascii="Times New Roman" w:eastAsia="SimSun" w:hAnsi="Times New Roman" w:cs="Times New Roman"/>
          <w:szCs w:val="21"/>
        </w:rPr>
      </w:pPr>
      <w:r w:rsidRPr="00B32168">
        <w:rPr>
          <w:rFonts w:ascii="Times New Roman" w:eastAsia="SimSun" w:hAnsi="Times New Roman" w:cs="Times New Roman"/>
          <w:b/>
          <w:szCs w:val="21"/>
        </w:rPr>
        <w:t>GTW session (</w:t>
      </w:r>
      <w:r w:rsidRPr="00B32168">
        <w:rPr>
          <w:rFonts w:ascii="Times New Roman" w:eastAsia="SimSun" w:hAnsi="Times New Roman" w:cs="Times New Roman" w:hint="eastAsia"/>
          <w:b/>
          <w:szCs w:val="21"/>
        </w:rPr>
        <w:t>Jan</w:t>
      </w:r>
      <w:r w:rsidRPr="00B32168">
        <w:rPr>
          <w:rFonts w:ascii="Times New Roman" w:eastAsia="SimSun" w:hAnsi="Times New Roman" w:cs="Times New Roman"/>
          <w:b/>
          <w:szCs w:val="21"/>
        </w:rPr>
        <w:t xml:space="preserve">. 25) </w:t>
      </w:r>
      <w:r w:rsidRPr="00B32168">
        <w:rPr>
          <w:rFonts w:ascii="Times New Roman" w:eastAsia="SimSun" w:hAnsi="Times New Roman" w:cs="Times New Roman" w:hint="eastAsia"/>
          <w:b/>
          <w:szCs w:val="21"/>
        </w:rPr>
        <w:t>A</w:t>
      </w:r>
      <w:r w:rsidRPr="00B32168">
        <w:rPr>
          <w:rFonts w:ascii="Times New Roman" w:eastAsia="SimSun" w:hAnsi="Times New Roman" w:cs="Times New Roman"/>
          <w:b/>
          <w:szCs w:val="21"/>
        </w:rPr>
        <w:t>greement:</w:t>
      </w:r>
      <w:r w:rsidRPr="00B32168">
        <w:rPr>
          <w:rFonts w:ascii="Times New Roman" w:eastAsia="SimSun" w:hAnsi="Times New Roman" w:cs="Times New Roman"/>
          <w:szCs w:val="21"/>
        </w:rPr>
        <w:t xml:space="preserve"> </w:t>
      </w:r>
      <w:r w:rsidRPr="00B32168">
        <w:rPr>
          <w:rFonts w:ascii="Times New Roman" w:hAnsi="Times New Roman"/>
          <w:color w:val="000000"/>
        </w:rPr>
        <w:t>NTN SAN ACS is [38dB]. Companies are encouraged to bring more analysis and results for Case 6 in RAN4#102-e meeting.</w:t>
      </w:r>
    </w:p>
    <w:p w14:paraId="1E9E8075" w14:textId="77777777" w:rsidR="003836B3" w:rsidRDefault="003836B3" w:rsidP="00630050">
      <w:pPr>
        <w:rPr>
          <w:lang w:val="en-GB" w:eastAsia="zh-CN"/>
        </w:rPr>
      </w:pPr>
    </w:p>
    <w:p w14:paraId="57F8D7CA" w14:textId="62E70FB6" w:rsidR="00630050" w:rsidRDefault="003836B3" w:rsidP="00630050">
      <w:pPr>
        <w:rPr>
          <w:lang w:val="en-GB" w:eastAsia="zh-CN"/>
        </w:rPr>
      </w:pPr>
      <w:r>
        <w:rPr>
          <w:lang w:val="en-GB" w:eastAsia="zh-CN"/>
        </w:rPr>
        <w:t>There were few results for this case 6 with large spread between them. Moreover, the worst case scenario was for GEO satellite with an elevation angle of 45</w:t>
      </w:r>
      <w:r w:rsidRPr="003836B3">
        <w:rPr>
          <w:vertAlign w:val="superscript"/>
          <w:lang w:val="en-GB" w:eastAsia="zh-CN"/>
        </w:rPr>
        <w:t>o</w:t>
      </w:r>
      <w:r w:rsidRPr="003836B3">
        <w:rPr>
          <w:lang w:val="en-GB" w:eastAsia="zh-CN"/>
        </w:rPr>
        <w:t>, for which only 2 companies have shared results</w:t>
      </w:r>
      <w:r>
        <w:rPr>
          <w:lang w:val="en-GB" w:eastAsia="zh-CN"/>
        </w:rPr>
        <w:t>, with large ACIR number for one company.</w:t>
      </w:r>
    </w:p>
    <w:p w14:paraId="5552B592" w14:textId="6ACA1373" w:rsidR="003836B3" w:rsidRDefault="003836B3" w:rsidP="00630050">
      <w:pPr>
        <w:rPr>
          <w:lang w:val="en-GB" w:eastAsia="zh-CN"/>
        </w:rPr>
      </w:pPr>
      <w:r>
        <w:rPr>
          <w:lang w:val="en-GB" w:eastAsia="zh-CN"/>
        </w:rPr>
        <w:t xml:space="preserve">Thales made then a relevant comment that, for this case 6, we assumed the satellite central beam full of </w:t>
      </w:r>
      <w:r w:rsidR="007F6AF5">
        <w:rPr>
          <w:lang w:val="en-GB" w:eastAsia="zh-CN"/>
        </w:rPr>
        <w:t>urban macro T</w:t>
      </w:r>
      <w:r>
        <w:rPr>
          <w:lang w:val="en-GB" w:eastAsia="zh-CN"/>
        </w:rPr>
        <w:t>Ns, which would be not realistic assumption considering this beam would have 250km diameter for GEO satellite.</w:t>
      </w:r>
    </w:p>
    <w:p w14:paraId="290DD248" w14:textId="1F9A0339" w:rsidR="007F6AF5" w:rsidRPr="006B4F4E" w:rsidRDefault="007F6AF5" w:rsidP="00630050">
      <w:pPr>
        <w:rPr>
          <w:b/>
          <w:bCs/>
          <w:lang w:val="en-GB" w:eastAsia="zh-CN"/>
        </w:rPr>
      </w:pPr>
      <w:r w:rsidRPr="006B4F4E">
        <w:rPr>
          <w:b/>
          <w:bCs/>
          <w:lang w:val="en-GB" w:eastAsia="zh-CN"/>
        </w:rPr>
        <w:t>Observation</w:t>
      </w:r>
      <w:r w:rsidR="006B4F4E" w:rsidRPr="006B4F4E">
        <w:rPr>
          <w:b/>
          <w:bCs/>
          <w:lang w:val="en-GB" w:eastAsia="zh-CN"/>
        </w:rPr>
        <w:t>1</w:t>
      </w:r>
      <w:r w:rsidRPr="006B4F4E">
        <w:rPr>
          <w:b/>
          <w:bCs/>
          <w:lang w:val="en-GB" w:eastAsia="zh-CN"/>
        </w:rPr>
        <w:t>: For case 6, it’s not realistic to consider that the satellite beam will be full of urban macro TNs.</w:t>
      </w:r>
    </w:p>
    <w:p w14:paraId="2F30C12D" w14:textId="27944740" w:rsidR="00630050" w:rsidRDefault="00630050" w:rsidP="00630050">
      <w:pPr>
        <w:pStyle w:val="Heading2"/>
        <w:rPr>
          <w:lang w:eastAsia="zh-CN"/>
        </w:rPr>
      </w:pPr>
      <w:r>
        <w:rPr>
          <w:lang w:eastAsia="zh-CN"/>
        </w:rPr>
        <w:t>Additional assumptions consideration</w:t>
      </w:r>
    </w:p>
    <w:p w14:paraId="7E7E1A4B" w14:textId="0A124629" w:rsidR="003836B3" w:rsidRDefault="003836B3" w:rsidP="003836B3">
      <w:pPr>
        <w:rPr>
          <w:lang w:val="en-GB" w:eastAsia="zh-CN"/>
        </w:rPr>
      </w:pPr>
      <w:r>
        <w:rPr>
          <w:lang w:val="en-GB" w:eastAsia="zh-CN"/>
        </w:rPr>
        <w:t>Based on Thales’ comment, we elaborated on the number of TNs that should be considered then in the satellite beam. This number should not be the extreme worst case (i.e. satellite beam full of TNs), but it should be realistic and still representative of some worst case situation to make sure NTN performance are guaranteed in such case.</w:t>
      </w:r>
    </w:p>
    <w:p w14:paraId="7A1A488A" w14:textId="1F410B43" w:rsidR="003836B3" w:rsidRDefault="003836B3" w:rsidP="003836B3">
      <w:pPr>
        <w:rPr>
          <w:lang w:val="en-GB" w:eastAsia="zh-CN"/>
        </w:rPr>
      </w:pPr>
      <w:r>
        <w:rPr>
          <w:lang w:val="en-GB" w:eastAsia="zh-CN"/>
        </w:rPr>
        <w:t xml:space="preserve">We considered then the New York </w:t>
      </w:r>
      <w:r w:rsidR="001B03F9">
        <w:rPr>
          <w:lang w:val="en-GB" w:eastAsia="zh-CN"/>
        </w:rPr>
        <w:t>M</w:t>
      </w:r>
      <w:r>
        <w:rPr>
          <w:lang w:val="en-GB" w:eastAsia="zh-CN"/>
        </w:rPr>
        <w:t xml:space="preserve">etropolitan area which </w:t>
      </w:r>
      <w:r w:rsidR="001B03F9">
        <w:rPr>
          <w:lang w:val="en-GB" w:eastAsia="zh-CN"/>
        </w:rPr>
        <w:t xml:space="preserve">is </w:t>
      </w:r>
      <w:r>
        <w:rPr>
          <w:lang w:val="en-GB" w:eastAsia="zh-CN"/>
        </w:rPr>
        <w:t>~</w:t>
      </w:r>
      <w:r w:rsidR="001B03F9">
        <w:rPr>
          <w:lang w:val="en-GB" w:eastAsia="zh-CN"/>
        </w:rPr>
        <w:t>31</w:t>
      </w:r>
      <w:r>
        <w:rPr>
          <w:lang w:val="en-GB" w:eastAsia="zh-CN"/>
        </w:rPr>
        <w:t xml:space="preserve"> 000 km</w:t>
      </w:r>
      <w:r w:rsidRPr="003836B3">
        <w:rPr>
          <w:vertAlign w:val="superscript"/>
          <w:lang w:val="en-GB" w:eastAsia="zh-CN"/>
        </w:rPr>
        <w:t>2</w:t>
      </w:r>
      <w:r>
        <w:rPr>
          <w:vertAlign w:val="superscript"/>
          <w:lang w:val="en-GB" w:eastAsia="zh-CN"/>
        </w:rPr>
        <w:t xml:space="preserve"> </w:t>
      </w:r>
      <w:r w:rsidR="001B03F9">
        <w:rPr>
          <w:vertAlign w:val="superscript"/>
          <w:lang w:val="en-GB" w:eastAsia="zh-CN"/>
        </w:rPr>
        <w:t xml:space="preserve"> </w:t>
      </w:r>
      <w:r w:rsidRPr="003836B3">
        <w:rPr>
          <w:lang w:val="en-GB" w:eastAsia="zh-CN"/>
        </w:rPr>
        <w:t>wide</w:t>
      </w:r>
      <w:r w:rsidR="001B03F9">
        <w:rPr>
          <w:lang w:val="en-GB" w:eastAsia="zh-CN"/>
        </w:rPr>
        <w:t>, so ~ 60% of a GEO satellite beam (at 90</w:t>
      </w:r>
      <w:r w:rsidR="001B03F9" w:rsidRPr="001B03F9">
        <w:rPr>
          <w:vertAlign w:val="superscript"/>
          <w:lang w:val="en-GB" w:eastAsia="zh-CN"/>
        </w:rPr>
        <w:t>o</w:t>
      </w:r>
      <w:r w:rsidR="001B03F9">
        <w:rPr>
          <w:lang w:val="en-GB" w:eastAsia="zh-CN"/>
        </w:rPr>
        <w:t>).</w:t>
      </w:r>
    </w:p>
    <w:p w14:paraId="1D59CF2D" w14:textId="77A3E244" w:rsidR="007F6AF5" w:rsidRDefault="007F6AF5" w:rsidP="003836B3">
      <w:pPr>
        <w:rPr>
          <w:lang w:val="en-GB" w:eastAsia="zh-CN"/>
        </w:rPr>
      </w:pPr>
      <w:r>
        <w:rPr>
          <w:lang w:val="en-GB" w:eastAsia="zh-CN"/>
        </w:rPr>
        <w:t xml:space="preserve">To keep it simple, considering the other assumptions and other aspects not considered in our simulations (e.g. mix of TN types), we would suggest then considering then there would be ~50% of the GEO satellite </w:t>
      </w:r>
      <w:r w:rsidR="008D1B6D">
        <w:rPr>
          <w:lang w:val="en-GB" w:eastAsia="zh-CN"/>
        </w:rPr>
        <w:t>beam area occupied by urban macro TNs</w:t>
      </w:r>
      <w:r>
        <w:rPr>
          <w:lang w:val="en-GB" w:eastAsia="zh-CN"/>
        </w:rPr>
        <w:t>.</w:t>
      </w:r>
    </w:p>
    <w:p w14:paraId="3AB48200" w14:textId="2DFA03AC" w:rsidR="00061FE9" w:rsidRPr="006B4F4E" w:rsidRDefault="00061FE9" w:rsidP="003836B3">
      <w:pPr>
        <w:rPr>
          <w:b/>
          <w:bCs/>
          <w:lang w:val="en-GB" w:eastAsia="zh-CN"/>
        </w:rPr>
      </w:pPr>
      <w:r w:rsidRPr="006B4F4E">
        <w:rPr>
          <w:b/>
          <w:bCs/>
          <w:lang w:val="en-GB" w:eastAsia="zh-CN"/>
        </w:rPr>
        <w:t>Proposal</w:t>
      </w:r>
      <w:r w:rsidR="006B4F4E">
        <w:rPr>
          <w:b/>
          <w:bCs/>
          <w:lang w:val="en-GB" w:eastAsia="zh-CN"/>
        </w:rPr>
        <w:t>1</w:t>
      </w:r>
      <w:r w:rsidRPr="006B4F4E">
        <w:rPr>
          <w:b/>
          <w:bCs/>
          <w:lang w:val="en-GB" w:eastAsia="zh-CN"/>
        </w:rPr>
        <w:t>: For case 6, consider the following assumption: only 50% of the satellite beam area will occupied by urban macro TNs.</w:t>
      </w:r>
    </w:p>
    <w:p w14:paraId="72FC5C83" w14:textId="4D9533FA" w:rsidR="00630050" w:rsidRDefault="00630050" w:rsidP="00630050">
      <w:pPr>
        <w:pStyle w:val="Heading2"/>
        <w:rPr>
          <w:lang w:eastAsia="zh-CN"/>
        </w:rPr>
      </w:pPr>
      <w:r>
        <w:rPr>
          <w:lang w:eastAsia="zh-CN"/>
        </w:rPr>
        <w:lastRenderedPageBreak/>
        <w:t>Additional simulations</w:t>
      </w:r>
    </w:p>
    <w:p w14:paraId="09796593" w14:textId="77777777" w:rsidR="008D1B6D" w:rsidRDefault="00061FE9" w:rsidP="00061FE9">
      <w:pPr>
        <w:rPr>
          <w:lang w:val="en-GB" w:eastAsia="zh-CN"/>
        </w:rPr>
      </w:pPr>
      <w:r>
        <w:rPr>
          <w:lang w:val="en-GB" w:eastAsia="zh-CN"/>
        </w:rPr>
        <w:t xml:space="preserve">We </w:t>
      </w:r>
      <w:r w:rsidR="008D1B6D">
        <w:rPr>
          <w:lang w:val="en-GB" w:eastAsia="zh-CN"/>
        </w:rPr>
        <w:t xml:space="preserve">then </w:t>
      </w:r>
      <w:r>
        <w:rPr>
          <w:lang w:val="en-GB" w:eastAsia="zh-CN"/>
        </w:rPr>
        <w:t xml:space="preserve">ran the </w:t>
      </w:r>
      <w:r w:rsidR="008D1B6D">
        <w:rPr>
          <w:lang w:val="en-GB" w:eastAsia="zh-CN"/>
        </w:rPr>
        <w:t>following</w:t>
      </w:r>
      <w:r>
        <w:rPr>
          <w:lang w:val="en-GB" w:eastAsia="zh-CN"/>
        </w:rPr>
        <w:t xml:space="preserve"> simulations for this case 6</w:t>
      </w:r>
      <w:r w:rsidR="00955E56">
        <w:rPr>
          <w:lang w:val="en-GB" w:eastAsia="zh-CN"/>
        </w:rPr>
        <w:t xml:space="preserve"> – GEO satellite with an elevation angle of 45</w:t>
      </w:r>
      <w:r w:rsidR="00955E56" w:rsidRPr="007F6AF5">
        <w:rPr>
          <w:vertAlign w:val="superscript"/>
          <w:lang w:val="en-GB" w:eastAsia="zh-CN"/>
        </w:rPr>
        <w:t>o</w:t>
      </w:r>
      <w:r w:rsidR="008D1B6D">
        <w:rPr>
          <w:lang w:val="en-GB" w:eastAsia="zh-CN"/>
        </w:rPr>
        <w:t xml:space="preserve">: </w:t>
      </w:r>
    </w:p>
    <w:p w14:paraId="5865AFB1" w14:textId="4C6674B8" w:rsidR="008D1B6D" w:rsidRDefault="008D1B6D" w:rsidP="008D1B6D">
      <w:pPr>
        <w:pStyle w:val="ListParagraph"/>
        <w:numPr>
          <w:ilvl w:val="0"/>
          <w:numId w:val="18"/>
        </w:numPr>
        <w:rPr>
          <w:lang w:val="en-GB" w:eastAsia="zh-CN"/>
        </w:rPr>
      </w:pPr>
      <w:r>
        <w:rPr>
          <w:lang w:val="en-GB" w:eastAsia="zh-CN"/>
        </w:rPr>
        <w:t>F</w:t>
      </w:r>
      <w:r w:rsidR="00955E56" w:rsidRPr="008D1B6D">
        <w:rPr>
          <w:lang w:val="en-GB" w:eastAsia="zh-CN"/>
        </w:rPr>
        <w:t xml:space="preserve">irst </w:t>
      </w:r>
      <w:r w:rsidR="001435DB">
        <w:rPr>
          <w:lang w:val="en-GB" w:eastAsia="zh-CN"/>
        </w:rPr>
        <w:t>(</w:t>
      </w:r>
      <w:r w:rsidR="001435DB">
        <w:rPr>
          <w:lang w:val="en-GB" w:eastAsia="zh-CN"/>
        </w:rPr>
        <w:fldChar w:fldCharType="begin"/>
      </w:r>
      <w:r w:rsidR="001435DB">
        <w:rPr>
          <w:lang w:val="en-GB" w:eastAsia="zh-CN"/>
        </w:rPr>
        <w:instrText xml:space="preserve"> REF _Ref95331642 \h </w:instrText>
      </w:r>
      <w:r w:rsidR="001435DB">
        <w:rPr>
          <w:lang w:val="en-GB" w:eastAsia="zh-CN"/>
        </w:rPr>
      </w:r>
      <w:r w:rsidR="001435DB">
        <w:rPr>
          <w:lang w:val="en-GB" w:eastAsia="zh-CN"/>
        </w:rPr>
        <w:fldChar w:fldCharType="separate"/>
      </w:r>
      <w:r w:rsidR="0081416A">
        <w:t xml:space="preserve">Figure </w:t>
      </w:r>
      <w:r w:rsidR="0081416A">
        <w:rPr>
          <w:noProof/>
        </w:rPr>
        <w:t>1</w:t>
      </w:r>
      <w:r w:rsidR="001435DB">
        <w:rPr>
          <w:lang w:val="en-GB" w:eastAsia="zh-CN"/>
        </w:rPr>
        <w:fldChar w:fldCharType="end"/>
      </w:r>
      <w:r w:rsidR="001435DB">
        <w:rPr>
          <w:lang w:val="en-GB" w:eastAsia="zh-CN"/>
        </w:rPr>
        <w:t xml:space="preserve"> and </w:t>
      </w:r>
      <w:r w:rsidR="001435DB">
        <w:rPr>
          <w:lang w:val="en-GB" w:eastAsia="zh-CN"/>
        </w:rPr>
        <w:fldChar w:fldCharType="begin"/>
      </w:r>
      <w:r w:rsidR="001435DB">
        <w:rPr>
          <w:lang w:val="en-GB" w:eastAsia="zh-CN"/>
        </w:rPr>
        <w:instrText xml:space="preserve"> REF _Ref95331662 \h </w:instrText>
      </w:r>
      <w:r w:rsidR="001435DB">
        <w:rPr>
          <w:lang w:val="en-GB" w:eastAsia="zh-CN"/>
        </w:rPr>
      </w:r>
      <w:r w:rsidR="001435DB">
        <w:rPr>
          <w:lang w:val="en-GB" w:eastAsia="zh-CN"/>
        </w:rPr>
        <w:fldChar w:fldCharType="separate"/>
      </w:r>
      <w:r w:rsidR="0081416A">
        <w:t xml:space="preserve">Table </w:t>
      </w:r>
      <w:r w:rsidR="0081416A">
        <w:rPr>
          <w:noProof/>
        </w:rPr>
        <w:t>1</w:t>
      </w:r>
      <w:r w:rsidR="001435DB">
        <w:rPr>
          <w:lang w:val="en-GB" w:eastAsia="zh-CN"/>
        </w:rPr>
        <w:fldChar w:fldCharType="end"/>
      </w:r>
      <w:r w:rsidR="001435DB">
        <w:rPr>
          <w:lang w:val="en-GB" w:eastAsia="zh-CN"/>
        </w:rPr>
        <w:t xml:space="preserve">) </w:t>
      </w:r>
      <w:r w:rsidR="00955E56" w:rsidRPr="008D1B6D">
        <w:rPr>
          <w:lang w:val="en-GB" w:eastAsia="zh-CN"/>
        </w:rPr>
        <w:t>with the satellite beam full of TNs (to calibrate with Qualcomm’s results from last meeting)</w:t>
      </w:r>
    </w:p>
    <w:p w14:paraId="6FF7E1D9" w14:textId="595D98DB" w:rsidR="00061FE9" w:rsidRPr="008D1B6D" w:rsidRDefault="008D1B6D" w:rsidP="008D1B6D">
      <w:pPr>
        <w:pStyle w:val="ListParagraph"/>
        <w:numPr>
          <w:ilvl w:val="0"/>
          <w:numId w:val="18"/>
        </w:numPr>
        <w:rPr>
          <w:lang w:val="en-GB" w:eastAsia="zh-CN"/>
        </w:rPr>
      </w:pPr>
      <w:r>
        <w:rPr>
          <w:lang w:val="en-GB" w:eastAsia="zh-CN"/>
        </w:rPr>
        <w:t>T</w:t>
      </w:r>
      <w:r w:rsidR="00955E56" w:rsidRPr="008D1B6D">
        <w:rPr>
          <w:lang w:val="en-GB" w:eastAsia="zh-CN"/>
        </w:rPr>
        <w:t xml:space="preserve">hen </w:t>
      </w:r>
      <w:r w:rsidR="001435DB">
        <w:rPr>
          <w:lang w:val="en-GB" w:eastAsia="zh-CN"/>
        </w:rPr>
        <w:t>(</w:t>
      </w:r>
      <w:r w:rsidR="001435DB">
        <w:rPr>
          <w:lang w:val="en-GB" w:eastAsia="zh-CN"/>
        </w:rPr>
        <w:fldChar w:fldCharType="begin"/>
      </w:r>
      <w:r w:rsidR="001435DB">
        <w:rPr>
          <w:lang w:val="en-GB" w:eastAsia="zh-CN"/>
        </w:rPr>
        <w:instrText xml:space="preserve"> REF _Ref95331650 \h </w:instrText>
      </w:r>
      <w:r w:rsidR="001435DB">
        <w:rPr>
          <w:lang w:val="en-GB" w:eastAsia="zh-CN"/>
        </w:rPr>
      </w:r>
      <w:r w:rsidR="001435DB">
        <w:rPr>
          <w:lang w:val="en-GB" w:eastAsia="zh-CN"/>
        </w:rPr>
        <w:fldChar w:fldCharType="separate"/>
      </w:r>
      <w:r w:rsidR="0081416A">
        <w:t xml:space="preserve">Figure </w:t>
      </w:r>
      <w:r w:rsidR="0081416A">
        <w:rPr>
          <w:noProof/>
        </w:rPr>
        <w:t>2</w:t>
      </w:r>
      <w:r w:rsidR="001435DB">
        <w:rPr>
          <w:lang w:val="en-GB" w:eastAsia="zh-CN"/>
        </w:rPr>
        <w:fldChar w:fldCharType="end"/>
      </w:r>
      <w:r w:rsidR="001435DB">
        <w:rPr>
          <w:lang w:val="en-GB" w:eastAsia="zh-CN"/>
        </w:rPr>
        <w:t xml:space="preserve"> and </w:t>
      </w:r>
      <w:r w:rsidR="001435DB">
        <w:rPr>
          <w:lang w:val="en-GB" w:eastAsia="zh-CN"/>
        </w:rPr>
        <w:fldChar w:fldCharType="begin"/>
      </w:r>
      <w:r w:rsidR="001435DB">
        <w:rPr>
          <w:lang w:val="en-GB" w:eastAsia="zh-CN"/>
        </w:rPr>
        <w:instrText xml:space="preserve"> REF _Ref95331668 \h </w:instrText>
      </w:r>
      <w:r w:rsidR="001435DB">
        <w:rPr>
          <w:lang w:val="en-GB" w:eastAsia="zh-CN"/>
        </w:rPr>
      </w:r>
      <w:r w:rsidR="001435DB">
        <w:rPr>
          <w:lang w:val="en-GB" w:eastAsia="zh-CN"/>
        </w:rPr>
        <w:fldChar w:fldCharType="separate"/>
      </w:r>
      <w:r w:rsidR="0081416A">
        <w:t xml:space="preserve">Table </w:t>
      </w:r>
      <w:r w:rsidR="0081416A">
        <w:rPr>
          <w:noProof/>
        </w:rPr>
        <w:t>2</w:t>
      </w:r>
      <w:r w:rsidR="001435DB">
        <w:rPr>
          <w:lang w:val="en-GB" w:eastAsia="zh-CN"/>
        </w:rPr>
        <w:fldChar w:fldCharType="end"/>
      </w:r>
      <w:r w:rsidR="001435DB">
        <w:rPr>
          <w:lang w:val="en-GB" w:eastAsia="zh-CN"/>
        </w:rPr>
        <w:t xml:space="preserve">) </w:t>
      </w:r>
      <w:r w:rsidR="00955E56" w:rsidRPr="008D1B6D">
        <w:rPr>
          <w:lang w:val="en-GB" w:eastAsia="zh-CN"/>
        </w:rPr>
        <w:t xml:space="preserve">with </w:t>
      </w:r>
      <w:r>
        <w:rPr>
          <w:lang w:val="en-GB" w:eastAsia="zh-CN"/>
        </w:rPr>
        <w:t xml:space="preserve">an </w:t>
      </w:r>
      <w:r w:rsidR="00955E56" w:rsidRPr="008D1B6D">
        <w:rPr>
          <w:lang w:val="en-GB" w:eastAsia="zh-CN"/>
        </w:rPr>
        <w:t>assumption</w:t>
      </w:r>
      <w:r>
        <w:rPr>
          <w:lang w:val="en-GB" w:eastAsia="zh-CN"/>
        </w:rPr>
        <w:t xml:space="preserve"> of 50%</w:t>
      </w:r>
      <w:r w:rsidR="00955E56" w:rsidRPr="008D1B6D">
        <w:rPr>
          <w:lang w:val="en-GB" w:eastAsia="zh-CN"/>
        </w:rPr>
        <w:t xml:space="preserve"> for the satellite beam</w:t>
      </w:r>
      <w:r w:rsidR="00CF4F59">
        <w:rPr>
          <w:lang w:val="en-GB" w:eastAsia="zh-CN"/>
        </w:rPr>
        <w:t xml:space="preserve"> area occupied by urban macro TNs</w:t>
      </w:r>
      <w:r w:rsidR="00955E56" w:rsidRPr="008D1B6D">
        <w:rPr>
          <w:lang w:val="en-GB" w:eastAsia="zh-CN"/>
        </w:rPr>
        <w:t>.</w:t>
      </w:r>
    </w:p>
    <w:p w14:paraId="5E2C02F2" w14:textId="77777777" w:rsidR="006B4F4E" w:rsidRDefault="00116CDB" w:rsidP="006B4F4E">
      <w:pPr>
        <w:keepNext/>
        <w:ind w:firstLine="576"/>
      </w:pPr>
      <w:r w:rsidRPr="00116CDB">
        <w:rPr>
          <w:noProof/>
          <w:lang w:val="en-GB" w:eastAsia="zh-CN"/>
        </w:rPr>
        <w:drawing>
          <wp:inline distT="0" distB="0" distL="0" distR="0" wp14:anchorId="1C0ED68C" wp14:editId="5C020618">
            <wp:extent cx="3465576" cy="25968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5576" cy="2596896"/>
                    </a:xfrm>
                    <a:prstGeom prst="rect">
                      <a:avLst/>
                    </a:prstGeom>
                    <a:noFill/>
                    <a:ln>
                      <a:noFill/>
                    </a:ln>
                  </pic:spPr>
                </pic:pic>
              </a:graphicData>
            </a:graphic>
          </wp:inline>
        </w:drawing>
      </w:r>
    </w:p>
    <w:p w14:paraId="0323E6D9" w14:textId="1481F656" w:rsidR="00061FE9" w:rsidRDefault="006B4F4E" w:rsidP="006B4F4E">
      <w:pPr>
        <w:pStyle w:val="Caption"/>
      </w:pPr>
      <w:bookmarkStart w:id="1" w:name="_Ref95331642"/>
      <w:r>
        <w:t xml:space="preserve">Figure </w:t>
      </w:r>
      <w:fldSimple w:instr=" SEQ Figure \* ARABIC ">
        <w:r w:rsidR="0081416A">
          <w:rPr>
            <w:noProof/>
          </w:rPr>
          <w:t>1</w:t>
        </w:r>
      </w:fldSimple>
      <w:bookmarkEnd w:id="1"/>
      <w:r>
        <w:t xml:space="preserve">: Case 6 - Thoughput impact for GEO satellite (EV 45) and 100% TN urban macro </w:t>
      </w:r>
    </w:p>
    <w:p w14:paraId="6A921D36" w14:textId="77777777" w:rsidR="006B4F4E" w:rsidRPr="006B4F4E" w:rsidRDefault="006B4F4E" w:rsidP="006B4F4E"/>
    <w:tbl>
      <w:tblPr>
        <w:tblW w:w="8560" w:type="dxa"/>
        <w:tblCellMar>
          <w:left w:w="70" w:type="dxa"/>
          <w:right w:w="70" w:type="dxa"/>
        </w:tblCellMar>
        <w:tblLook w:val="04A0" w:firstRow="1" w:lastRow="0" w:firstColumn="1" w:lastColumn="0" w:noHBand="0" w:noVBand="1"/>
      </w:tblPr>
      <w:tblGrid>
        <w:gridCol w:w="2502"/>
        <w:gridCol w:w="1258"/>
        <w:gridCol w:w="960"/>
        <w:gridCol w:w="960"/>
        <w:gridCol w:w="960"/>
        <w:gridCol w:w="960"/>
        <w:gridCol w:w="960"/>
      </w:tblGrid>
      <w:tr w:rsidR="00116CDB" w:rsidRPr="00116CDB" w14:paraId="707F354E" w14:textId="77777777" w:rsidTr="00116CDB">
        <w:trPr>
          <w:trHeight w:val="315"/>
        </w:trPr>
        <w:tc>
          <w:tcPr>
            <w:tcW w:w="376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BB8C94" w14:textId="15FF9BE3"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sidRPr="00116CDB">
              <w:rPr>
                <w:rFonts w:ascii="Calibri" w:eastAsia="Times New Roman" w:hAnsi="Calibri" w:cs="Calibri"/>
                <w:color w:val="000000"/>
                <w:sz w:val="22"/>
                <w:szCs w:val="22"/>
                <w:lang w:eastAsia="sv-SE"/>
              </w:rPr>
              <w:t>Required ACIR</w:t>
            </w:r>
            <w:r w:rsidR="00A060EF">
              <w:rPr>
                <w:rFonts w:ascii="Calibri" w:eastAsia="Times New Roman" w:hAnsi="Calibri" w:cs="Calibri"/>
                <w:color w:val="000000"/>
                <w:sz w:val="22"/>
                <w:szCs w:val="22"/>
                <w:lang w:eastAsia="sv-SE"/>
              </w:rPr>
              <w:t xml:space="preserve"> (100% TNs)</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2B0D02A0" w14:textId="6CA05D83"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40</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2D2A8D84" w14:textId="5AC675CF"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42</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5483CF2D" w14:textId="13F1BE4C"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44</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5FAFE376" w14:textId="6B70F99A"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46</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79B61834" w14:textId="57BAA1A8"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48</w:t>
            </w:r>
          </w:p>
        </w:tc>
      </w:tr>
      <w:tr w:rsidR="00116CDB" w:rsidRPr="00116CDB" w14:paraId="6DE0B60E" w14:textId="77777777" w:rsidTr="00116CDB">
        <w:trPr>
          <w:trHeight w:val="315"/>
        </w:trPr>
        <w:tc>
          <w:tcPr>
            <w:tcW w:w="250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B2CF44F" w14:textId="77777777"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sidRPr="00116CDB">
              <w:rPr>
                <w:rFonts w:ascii="Calibri" w:eastAsia="Times New Roman" w:hAnsi="Calibri" w:cs="Calibri"/>
                <w:color w:val="000000"/>
                <w:sz w:val="22"/>
                <w:szCs w:val="22"/>
                <w:lang w:eastAsia="sv-SE"/>
              </w:rPr>
              <w:t>Throughput Loss</w:t>
            </w:r>
          </w:p>
        </w:tc>
        <w:tc>
          <w:tcPr>
            <w:tcW w:w="1258" w:type="dxa"/>
            <w:tcBorders>
              <w:top w:val="nil"/>
              <w:left w:val="nil"/>
              <w:bottom w:val="single" w:sz="8" w:space="0" w:color="auto"/>
              <w:right w:val="single" w:sz="8" w:space="0" w:color="auto"/>
            </w:tcBorders>
            <w:shd w:val="clear" w:color="auto" w:fill="auto"/>
            <w:noWrap/>
            <w:vAlign w:val="bottom"/>
            <w:hideMark/>
          </w:tcPr>
          <w:p w14:paraId="66A56804" w14:textId="77777777"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sidRPr="00116CDB">
              <w:rPr>
                <w:rFonts w:ascii="Calibri" w:eastAsia="Times New Roman" w:hAnsi="Calibri" w:cs="Calibri"/>
                <w:color w:val="000000"/>
                <w:sz w:val="22"/>
                <w:szCs w:val="22"/>
                <w:lang w:eastAsia="sv-SE"/>
              </w:rPr>
              <w:t>Average</w:t>
            </w:r>
          </w:p>
        </w:tc>
        <w:tc>
          <w:tcPr>
            <w:tcW w:w="960" w:type="dxa"/>
            <w:tcBorders>
              <w:top w:val="nil"/>
              <w:left w:val="nil"/>
              <w:bottom w:val="single" w:sz="8" w:space="0" w:color="auto"/>
              <w:right w:val="single" w:sz="8" w:space="0" w:color="auto"/>
            </w:tcBorders>
            <w:shd w:val="clear" w:color="auto" w:fill="auto"/>
            <w:noWrap/>
            <w:vAlign w:val="bottom"/>
          </w:tcPr>
          <w:p w14:paraId="7294622D" w14:textId="199ECEA8"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9.0</w:t>
            </w:r>
          </w:p>
        </w:tc>
        <w:tc>
          <w:tcPr>
            <w:tcW w:w="960" w:type="dxa"/>
            <w:tcBorders>
              <w:top w:val="nil"/>
              <w:left w:val="nil"/>
              <w:bottom w:val="single" w:sz="8" w:space="0" w:color="auto"/>
              <w:right w:val="single" w:sz="8" w:space="0" w:color="auto"/>
            </w:tcBorders>
            <w:shd w:val="clear" w:color="auto" w:fill="auto"/>
            <w:noWrap/>
            <w:vAlign w:val="bottom"/>
          </w:tcPr>
          <w:p w14:paraId="41875ACC" w14:textId="5B9C6A2B"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6.0</w:t>
            </w:r>
          </w:p>
        </w:tc>
        <w:tc>
          <w:tcPr>
            <w:tcW w:w="960" w:type="dxa"/>
            <w:tcBorders>
              <w:top w:val="nil"/>
              <w:left w:val="nil"/>
              <w:bottom w:val="single" w:sz="8" w:space="0" w:color="auto"/>
              <w:right w:val="single" w:sz="8" w:space="0" w:color="auto"/>
            </w:tcBorders>
            <w:shd w:val="clear" w:color="auto" w:fill="auto"/>
            <w:noWrap/>
            <w:vAlign w:val="bottom"/>
          </w:tcPr>
          <w:p w14:paraId="00B32718" w14:textId="34700B95"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4.4</w:t>
            </w:r>
          </w:p>
        </w:tc>
        <w:tc>
          <w:tcPr>
            <w:tcW w:w="960" w:type="dxa"/>
            <w:tcBorders>
              <w:top w:val="nil"/>
              <w:left w:val="nil"/>
              <w:bottom w:val="single" w:sz="8" w:space="0" w:color="auto"/>
              <w:right w:val="single" w:sz="8" w:space="0" w:color="auto"/>
            </w:tcBorders>
            <w:shd w:val="clear" w:color="auto" w:fill="auto"/>
            <w:noWrap/>
            <w:vAlign w:val="bottom"/>
          </w:tcPr>
          <w:p w14:paraId="73EF752B" w14:textId="7D49C9C4"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3.1</w:t>
            </w:r>
          </w:p>
        </w:tc>
        <w:tc>
          <w:tcPr>
            <w:tcW w:w="960" w:type="dxa"/>
            <w:tcBorders>
              <w:top w:val="nil"/>
              <w:left w:val="nil"/>
              <w:bottom w:val="single" w:sz="8" w:space="0" w:color="auto"/>
              <w:right w:val="single" w:sz="8" w:space="0" w:color="auto"/>
            </w:tcBorders>
            <w:shd w:val="clear" w:color="auto" w:fill="auto"/>
            <w:noWrap/>
            <w:vAlign w:val="bottom"/>
          </w:tcPr>
          <w:p w14:paraId="446EEE54" w14:textId="59E0946B"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2.2</w:t>
            </w:r>
          </w:p>
        </w:tc>
      </w:tr>
      <w:tr w:rsidR="00116CDB" w:rsidRPr="00116CDB" w14:paraId="5C4AE6AF" w14:textId="77777777" w:rsidTr="00116CDB">
        <w:trPr>
          <w:trHeight w:val="315"/>
        </w:trPr>
        <w:tc>
          <w:tcPr>
            <w:tcW w:w="2502" w:type="dxa"/>
            <w:vMerge/>
            <w:tcBorders>
              <w:top w:val="nil"/>
              <w:left w:val="single" w:sz="8" w:space="0" w:color="auto"/>
              <w:bottom w:val="single" w:sz="8" w:space="0" w:color="auto"/>
              <w:right w:val="single" w:sz="8" w:space="0" w:color="auto"/>
            </w:tcBorders>
            <w:vAlign w:val="center"/>
            <w:hideMark/>
          </w:tcPr>
          <w:p w14:paraId="60B5229B" w14:textId="77777777" w:rsidR="00116CDB" w:rsidRPr="00116CDB" w:rsidRDefault="00116CDB" w:rsidP="00116CDB">
            <w:pPr>
              <w:spacing w:after="0" w:line="240" w:lineRule="auto"/>
              <w:rPr>
                <w:rFonts w:ascii="Calibri" w:eastAsia="Times New Roman" w:hAnsi="Calibri" w:cs="Calibri"/>
                <w:color w:val="000000"/>
                <w:sz w:val="22"/>
                <w:szCs w:val="22"/>
                <w:lang w:eastAsia="sv-SE"/>
              </w:rPr>
            </w:pPr>
          </w:p>
        </w:tc>
        <w:tc>
          <w:tcPr>
            <w:tcW w:w="1258" w:type="dxa"/>
            <w:tcBorders>
              <w:top w:val="nil"/>
              <w:left w:val="nil"/>
              <w:bottom w:val="single" w:sz="8" w:space="0" w:color="auto"/>
              <w:right w:val="single" w:sz="8" w:space="0" w:color="auto"/>
            </w:tcBorders>
            <w:shd w:val="clear" w:color="auto" w:fill="auto"/>
            <w:noWrap/>
            <w:vAlign w:val="bottom"/>
            <w:hideMark/>
          </w:tcPr>
          <w:p w14:paraId="1FFD8753" w14:textId="77777777"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sidRPr="00116CDB">
              <w:rPr>
                <w:rFonts w:ascii="Calibri" w:eastAsia="Times New Roman" w:hAnsi="Calibri" w:cs="Calibri"/>
                <w:color w:val="000000"/>
                <w:sz w:val="22"/>
                <w:szCs w:val="22"/>
                <w:lang w:eastAsia="sv-SE"/>
              </w:rPr>
              <w:t>5%-tile</w:t>
            </w:r>
          </w:p>
        </w:tc>
        <w:tc>
          <w:tcPr>
            <w:tcW w:w="960" w:type="dxa"/>
            <w:tcBorders>
              <w:top w:val="nil"/>
              <w:left w:val="nil"/>
              <w:bottom w:val="single" w:sz="8" w:space="0" w:color="auto"/>
              <w:right w:val="single" w:sz="8" w:space="0" w:color="auto"/>
            </w:tcBorders>
            <w:shd w:val="clear" w:color="auto" w:fill="auto"/>
            <w:noWrap/>
            <w:vAlign w:val="bottom"/>
          </w:tcPr>
          <w:p w14:paraId="5C3D4E06" w14:textId="41951003"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36E711F9" w14:textId="0E942121"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59A95678" w14:textId="63C7B7E4"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506731B4" w14:textId="7FE69BE9"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21EAA6C0" w14:textId="4CF84409" w:rsidR="00116CDB" w:rsidRPr="00116CDB" w:rsidRDefault="00116CDB" w:rsidP="006B4F4E">
            <w:pPr>
              <w:keepNext/>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NA</w:t>
            </w:r>
          </w:p>
        </w:tc>
      </w:tr>
    </w:tbl>
    <w:p w14:paraId="2C5220DD" w14:textId="768A8C99" w:rsidR="00116CDB" w:rsidRDefault="006B4F4E" w:rsidP="006B4F4E">
      <w:pPr>
        <w:pStyle w:val="Caption"/>
      </w:pPr>
      <w:bookmarkStart w:id="2" w:name="_Ref95331662"/>
      <w:r>
        <w:t xml:space="preserve">Table </w:t>
      </w:r>
      <w:fldSimple w:instr=" SEQ Table \* ARABIC ">
        <w:r w:rsidR="0081416A">
          <w:rPr>
            <w:noProof/>
          </w:rPr>
          <w:t>1</w:t>
        </w:r>
      </w:fldSimple>
      <w:bookmarkEnd w:id="2"/>
      <w:r>
        <w:t xml:space="preserve">: </w:t>
      </w:r>
      <w:r w:rsidRPr="00FF4792">
        <w:t xml:space="preserve">Case 6 - </w:t>
      </w:r>
      <w:r>
        <w:t xml:space="preserve">ACIR value vs </w:t>
      </w:r>
      <w:r w:rsidRPr="00FF4792">
        <w:t>Thoughput impact for GEO satellite (EV 45) and 100% TN urban macro</w:t>
      </w:r>
    </w:p>
    <w:p w14:paraId="65FC1EF1" w14:textId="77777777" w:rsidR="006B4F4E" w:rsidRPr="006B4F4E" w:rsidRDefault="006B4F4E" w:rsidP="006B4F4E"/>
    <w:p w14:paraId="10744E6F" w14:textId="77777777" w:rsidR="006B4F4E" w:rsidRDefault="00116CDB" w:rsidP="006B4F4E">
      <w:pPr>
        <w:keepNext/>
        <w:ind w:firstLine="576"/>
      </w:pPr>
      <w:r w:rsidRPr="00116CDB">
        <w:rPr>
          <w:noProof/>
          <w:lang w:val="en-GB" w:eastAsia="zh-CN"/>
        </w:rPr>
        <w:drawing>
          <wp:inline distT="0" distB="0" distL="0" distR="0" wp14:anchorId="7D6AA3DE" wp14:editId="14BAE719">
            <wp:extent cx="3465576" cy="25968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5576" cy="2596896"/>
                    </a:xfrm>
                    <a:prstGeom prst="rect">
                      <a:avLst/>
                    </a:prstGeom>
                    <a:noFill/>
                    <a:ln>
                      <a:noFill/>
                    </a:ln>
                  </pic:spPr>
                </pic:pic>
              </a:graphicData>
            </a:graphic>
          </wp:inline>
        </w:drawing>
      </w:r>
    </w:p>
    <w:p w14:paraId="1A204747" w14:textId="7DBDF637" w:rsidR="00116CDB" w:rsidRDefault="006B4F4E" w:rsidP="006B4F4E">
      <w:pPr>
        <w:pStyle w:val="Caption"/>
      </w:pPr>
      <w:bookmarkStart w:id="3" w:name="_Ref95331650"/>
      <w:r>
        <w:t xml:space="preserve">Figure </w:t>
      </w:r>
      <w:fldSimple w:instr=" SEQ Figure \* ARABIC ">
        <w:r w:rsidR="0081416A">
          <w:rPr>
            <w:noProof/>
          </w:rPr>
          <w:t>2</w:t>
        </w:r>
      </w:fldSimple>
      <w:bookmarkEnd w:id="3"/>
      <w:r>
        <w:t xml:space="preserve">: </w:t>
      </w:r>
      <w:r w:rsidRPr="00F062FF">
        <w:t xml:space="preserve">Case 6 - Thoughput impact for GEO satellite (EV 45) and </w:t>
      </w:r>
      <w:r>
        <w:t>5</w:t>
      </w:r>
      <w:r w:rsidRPr="00F062FF">
        <w:t>0% TN urban macro</w:t>
      </w:r>
    </w:p>
    <w:p w14:paraId="39737FED" w14:textId="77777777" w:rsidR="006B4F4E" w:rsidRPr="006B4F4E" w:rsidRDefault="006B4F4E" w:rsidP="006B4F4E"/>
    <w:tbl>
      <w:tblPr>
        <w:tblW w:w="8560" w:type="dxa"/>
        <w:tblCellMar>
          <w:left w:w="70" w:type="dxa"/>
          <w:right w:w="70" w:type="dxa"/>
        </w:tblCellMar>
        <w:tblLook w:val="04A0" w:firstRow="1" w:lastRow="0" w:firstColumn="1" w:lastColumn="0" w:noHBand="0" w:noVBand="1"/>
      </w:tblPr>
      <w:tblGrid>
        <w:gridCol w:w="2502"/>
        <w:gridCol w:w="1258"/>
        <w:gridCol w:w="960"/>
        <w:gridCol w:w="960"/>
        <w:gridCol w:w="960"/>
        <w:gridCol w:w="960"/>
        <w:gridCol w:w="960"/>
      </w:tblGrid>
      <w:tr w:rsidR="00116CDB" w:rsidRPr="00116CDB" w14:paraId="689B5A5A" w14:textId="77777777" w:rsidTr="00116CDB">
        <w:trPr>
          <w:trHeight w:val="315"/>
        </w:trPr>
        <w:tc>
          <w:tcPr>
            <w:tcW w:w="376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717DAD0" w14:textId="3A2C5B56"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sidRPr="00116CDB">
              <w:rPr>
                <w:rFonts w:ascii="Calibri" w:eastAsia="Times New Roman" w:hAnsi="Calibri" w:cs="Calibri"/>
                <w:color w:val="000000"/>
                <w:sz w:val="22"/>
                <w:szCs w:val="22"/>
                <w:lang w:eastAsia="sv-SE"/>
              </w:rPr>
              <w:lastRenderedPageBreak/>
              <w:t>Required ACIR</w:t>
            </w:r>
            <w:r w:rsidR="00A060EF">
              <w:rPr>
                <w:rFonts w:ascii="Calibri" w:eastAsia="Times New Roman" w:hAnsi="Calibri" w:cs="Calibri"/>
                <w:color w:val="000000"/>
                <w:sz w:val="22"/>
                <w:szCs w:val="22"/>
                <w:lang w:eastAsia="sv-SE"/>
              </w:rPr>
              <w:t xml:space="preserve"> (50% TNs)</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59323407" w14:textId="5CB11E9F"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36</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7602E1E8" w14:textId="56722012"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38</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67A17AAA" w14:textId="4308D147"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40</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38EBAF7D" w14:textId="00E7EC60"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42</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44B81F2F" w14:textId="7B75A4C8"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44</w:t>
            </w:r>
          </w:p>
        </w:tc>
      </w:tr>
      <w:tr w:rsidR="00116CDB" w:rsidRPr="00116CDB" w14:paraId="2E57B536" w14:textId="77777777" w:rsidTr="00116CDB">
        <w:trPr>
          <w:trHeight w:val="315"/>
        </w:trPr>
        <w:tc>
          <w:tcPr>
            <w:tcW w:w="250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2AE61C51" w14:textId="77777777"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sidRPr="00116CDB">
              <w:rPr>
                <w:rFonts w:ascii="Calibri" w:eastAsia="Times New Roman" w:hAnsi="Calibri" w:cs="Calibri"/>
                <w:color w:val="000000"/>
                <w:sz w:val="22"/>
                <w:szCs w:val="22"/>
                <w:lang w:eastAsia="sv-SE"/>
              </w:rPr>
              <w:t>Throughput Loss</w:t>
            </w:r>
          </w:p>
        </w:tc>
        <w:tc>
          <w:tcPr>
            <w:tcW w:w="1258" w:type="dxa"/>
            <w:tcBorders>
              <w:top w:val="nil"/>
              <w:left w:val="nil"/>
              <w:bottom w:val="single" w:sz="8" w:space="0" w:color="auto"/>
              <w:right w:val="single" w:sz="8" w:space="0" w:color="auto"/>
            </w:tcBorders>
            <w:shd w:val="clear" w:color="auto" w:fill="auto"/>
            <w:noWrap/>
            <w:vAlign w:val="bottom"/>
            <w:hideMark/>
          </w:tcPr>
          <w:p w14:paraId="58D91F4C" w14:textId="77777777"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sidRPr="00116CDB">
              <w:rPr>
                <w:rFonts w:ascii="Calibri" w:eastAsia="Times New Roman" w:hAnsi="Calibri" w:cs="Calibri"/>
                <w:color w:val="000000"/>
                <w:sz w:val="22"/>
                <w:szCs w:val="22"/>
                <w:lang w:eastAsia="sv-SE"/>
              </w:rPr>
              <w:t>Average</w:t>
            </w:r>
          </w:p>
        </w:tc>
        <w:tc>
          <w:tcPr>
            <w:tcW w:w="960" w:type="dxa"/>
            <w:tcBorders>
              <w:top w:val="nil"/>
              <w:left w:val="nil"/>
              <w:bottom w:val="single" w:sz="8" w:space="0" w:color="auto"/>
              <w:right w:val="single" w:sz="8" w:space="0" w:color="auto"/>
            </w:tcBorders>
            <w:shd w:val="clear" w:color="auto" w:fill="auto"/>
            <w:noWrap/>
            <w:vAlign w:val="bottom"/>
          </w:tcPr>
          <w:p w14:paraId="1C929894" w14:textId="711BC1AF"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10.7</w:t>
            </w:r>
          </w:p>
        </w:tc>
        <w:tc>
          <w:tcPr>
            <w:tcW w:w="960" w:type="dxa"/>
            <w:tcBorders>
              <w:top w:val="nil"/>
              <w:left w:val="nil"/>
              <w:bottom w:val="single" w:sz="8" w:space="0" w:color="auto"/>
              <w:right w:val="single" w:sz="8" w:space="0" w:color="auto"/>
            </w:tcBorders>
            <w:shd w:val="clear" w:color="auto" w:fill="auto"/>
            <w:noWrap/>
            <w:vAlign w:val="bottom"/>
          </w:tcPr>
          <w:p w14:paraId="3EF423CF" w14:textId="738E5322"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7.0</w:t>
            </w:r>
          </w:p>
        </w:tc>
        <w:tc>
          <w:tcPr>
            <w:tcW w:w="960" w:type="dxa"/>
            <w:tcBorders>
              <w:top w:val="nil"/>
              <w:left w:val="nil"/>
              <w:bottom w:val="single" w:sz="8" w:space="0" w:color="auto"/>
              <w:right w:val="single" w:sz="8" w:space="0" w:color="auto"/>
            </w:tcBorders>
            <w:shd w:val="clear" w:color="auto" w:fill="auto"/>
            <w:noWrap/>
            <w:vAlign w:val="bottom"/>
          </w:tcPr>
          <w:p w14:paraId="370E7EF6" w14:textId="047DA945"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5.1</w:t>
            </w:r>
          </w:p>
        </w:tc>
        <w:tc>
          <w:tcPr>
            <w:tcW w:w="960" w:type="dxa"/>
            <w:tcBorders>
              <w:top w:val="nil"/>
              <w:left w:val="nil"/>
              <w:bottom w:val="single" w:sz="8" w:space="0" w:color="auto"/>
              <w:right w:val="single" w:sz="8" w:space="0" w:color="auto"/>
            </w:tcBorders>
            <w:shd w:val="clear" w:color="auto" w:fill="auto"/>
            <w:noWrap/>
            <w:vAlign w:val="bottom"/>
          </w:tcPr>
          <w:p w14:paraId="42297723" w14:textId="6BAF2B20"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3.7</w:t>
            </w:r>
          </w:p>
        </w:tc>
        <w:tc>
          <w:tcPr>
            <w:tcW w:w="960" w:type="dxa"/>
            <w:tcBorders>
              <w:top w:val="nil"/>
              <w:left w:val="nil"/>
              <w:bottom w:val="single" w:sz="8" w:space="0" w:color="auto"/>
              <w:right w:val="single" w:sz="8" w:space="0" w:color="auto"/>
            </w:tcBorders>
            <w:shd w:val="clear" w:color="auto" w:fill="auto"/>
            <w:noWrap/>
            <w:vAlign w:val="bottom"/>
          </w:tcPr>
          <w:p w14:paraId="4BCC5667" w14:textId="066D7BE5"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2.6</w:t>
            </w:r>
          </w:p>
        </w:tc>
      </w:tr>
      <w:tr w:rsidR="00116CDB" w:rsidRPr="00116CDB" w14:paraId="606FD93D" w14:textId="77777777" w:rsidTr="00116CDB">
        <w:trPr>
          <w:trHeight w:val="315"/>
        </w:trPr>
        <w:tc>
          <w:tcPr>
            <w:tcW w:w="2502" w:type="dxa"/>
            <w:vMerge/>
            <w:tcBorders>
              <w:top w:val="nil"/>
              <w:left w:val="single" w:sz="8" w:space="0" w:color="auto"/>
              <w:bottom w:val="single" w:sz="8" w:space="0" w:color="auto"/>
              <w:right w:val="single" w:sz="8" w:space="0" w:color="auto"/>
            </w:tcBorders>
            <w:vAlign w:val="center"/>
            <w:hideMark/>
          </w:tcPr>
          <w:p w14:paraId="75CFB527" w14:textId="77777777" w:rsidR="00116CDB" w:rsidRPr="00116CDB" w:rsidRDefault="00116CDB" w:rsidP="00116CDB">
            <w:pPr>
              <w:spacing w:after="0" w:line="240" w:lineRule="auto"/>
              <w:rPr>
                <w:rFonts w:ascii="Calibri" w:eastAsia="Times New Roman" w:hAnsi="Calibri" w:cs="Calibri"/>
                <w:color w:val="000000"/>
                <w:sz w:val="22"/>
                <w:szCs w:val="22"/>
                <w:lang w:eastAsia="sv-SE"/>
              </w:rPr>
            </w:pPr>
          </w:p>
        </w:tc>
        <w:tc>
          <w:tcPr>
            <w:tcW w:w="1258" w:type="dxa"/>
            <w:tcBorders>
              <w:top w:val="nil"/>
              <w:left w:val="nil"/>
              <w:bottom w:val="single" w:sz="8" w:space="0" w:color="auto"/>
              <w:right w:val="single" w:sz="8" w:space="0" w:color="auto"/>
            </w:tcBorders>
            <w:shd w:val="clear" w:color="auto" w:fill="auto"/>
            <w:noWrap/>
            <w:vAlign w:val="bottom"/>
            <w:hideMark/>
          </w:tcPr>
          <w:p w14:paraId="3C657F85" w14:textId="77777777"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sidRPr="00116CDB">
              <w:rPr>
                <w:rFonts w:ascii="Calibri" w:eastAsia="Times New Roman" w:hAnsi="Calibri" w:cs="Calibri"/>
                <w:color w:val="000000"/>
                <w:sz w:val="22"/>
                <w:szCs w:val="22"/>
                <w:lang w:eastAsia="sv-SE"/>
              </w:rPr>
              <w:t>5%-tile</w:t>
            </w:r>
          </w:p>
        </w:tc>
        <w:tc>
          <w:tcPr>
            <w:tcW w:w="960" w:type="dxa"/>
            <w:tcBorders>
              <w:top w:val="nil"/>
              <w:left w:val="nil"/>
              <w:bottom w:val="single" w:sz="8" w:space="0" w:color="auto"/>
              <w:right w:val="single" w:sz="8" w:space="0" w:color="auto"/>
            </w:tcBorders>
            <w:shd w:val="clear" w:color="auto" w:fill="auto"/>
            <w:noWrap/>
            <w:vAlign w:val="bottom"/>
          </w:tcPr>
          <w:p w14:paraId="1CD9EFF4" w14:textId="63A806E7"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6FD726EC" w14:textId="401DAD2D"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2BFD3049" w14:textId="4D896858"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2B32206F" w14:textId="2B74DF5F" w:rsidR="00116CDB" w:rsidRPr="00116CDB" w:rsidRDefault="00116CDB" w:rsidP="00116CDB">
            <w:pPr>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3D1319D7" w14:textId="3DAA0C77" w:rsidR="00116CDB" w:rsidRPr="00116CDB" w:rsidRDefault="00116CDB" w:rsidP="006B4F4E">
            <w:pPr>
              <w:keepNext/>
              <w:spacing w:after="0" w:line="240" w:lineRule="auto"/>
              <w:jc w:val="center"/>
              <w:rPr>
                <w:rFonts w:ascii="Calibri" w:eastAsia="Times New Roman" w:hAnsi="Calibri" w:cs="Calibri"/>
                <w:color w:val="000000"/>
                <w:sz w:val="22"/>
                <w:szCs w:val="22"/>
                <w:lang w:eastAsia="sv-SE"/>
              </w:rPr>
            </w:pPr>
            <w:r>
              <w:rPr>
                <w:rFonts w:ascii="Calibri" w:eastAsia="Times New Roman" w:hAnsi="Calibri" w:cs="Calibri"/>
                <w:color w:val="000000"/>
                <w:sz w:val="22"/>
                <w:szCs w:val="22"/>
                <w:lang w:eastAsia="sv-SE"/>
              </w:rPr>
              <w:t>NA</w:t>
            </w:r>
          </w:p>
        </w:tc>
      </w:tr>
    </w:tbl>
    <w:p w14:paraId="39C8A80B" w14:textId="4A8A8A0B" w:rsidR="00116CDB" w:rsidRDefault="006B4F4E" w:rsidP="006B4F4E">
      <w:pPr>
        <w:pStyle w:val="Caption"/>
        <w:rPr>
          <w:lang w:val="en-GB" w:eastAsia="zh-CN"/>
        </w:rPr>
      </w:pPr>
      <w:bookmarkStart w:id="4" w:name="_Ref95331668"/>
      <w:r>
        <w:t xml:space="preserve">Table </w:t>
      </w:r>
      <w:fldSimple w:instr=" SEQ Table \* ARABIC ">
        <w:r w:rsidR="0081416A">
          <w:rPr>
            <w:noProof/>
          </w:rPr>
          <w:t>2</w:t>
        </w:r>
      </w:fldSimple>
      <w:bookmarkEnd w:id="4"/>
      <w:r>
        <w:t xml:space="preserve">: </w:t>
      </w:r>
      <w:r w:rsidRPr="003B5A49">
        <w:t xml:space="preserve">Case 6 - ACIR value vs Thoughput impact for GEO satellite (EV 45) and </w:t>
      </w:r>
      <w:r>
        <w:t>5</w:t>
      </w:r>
      <w:r w:rsidRPr="003B5A49">
        <w:t>0% TN urban macro</w:t>
      </w:r>
    </w:p>
    <w:p w14:paraId="5467D862" w14:textId="79BF17E9" w:rsidR="00116CDB" w:rsidRDefault="00116CDB" w:rsidP="00116CDB">
      <w:pPr>
        <w:ind w:firstLine="576"/>
        <w:rPr>
          <w:lang w:val="en-GB" w:eastAsia="zh-CN"/>
        </w:rPr>
      </w:pPr>
    </w:p>
    <w:p w14:paraId="33054FF7" w14:textId="43304CBB" w:rsidR="00A060EF" w:rsidRDefault="00A060EF" w:rsidP="00A060EF">
      <w:pPr>
        <w:rPr>
          <w:lang w:val="en-GB" w:eastAsia="zh-CN"/>
        </w:rPr>
      </w:pPr>
      <w:r>
        <w:rPr>
          <w:lang w:val="en-GB" w:eastAsia="zh-CN"/>
        </w:rPr>
        <w:t>Form the simulation with 100% TNs (which is the current agreed assumption), an ACIR of ~43dB would be needed to guarantee coexistence. This is lower than results provided in RAN4#101-bis-e meeting (ACIR would be ~48dB), but still in the agreed 10dB range</w:t>
      </w:r>
      <w:r w:rsidR="00A9158B">
        <w:rPr>
          <w:lang w:val="en-GB" w:eastAsia="zh-CN"/>
        </w:rPr>
        <w:t xml:space="preserve"> and so this simulation result would be valid</w:t>
      </w:r>
      <w:r>
        <w:rPr>
          <w:lang w:val="en-GB" w:eastAsia="zh-CN"/>
        </w:rPr>
        <w:t>.</w:t>
      </w:r>
    </w:p>
    <w:p w14:paraId="4A98303C" w14:textId="4DCED88E" w:rsidR="00A060EF" w:rsidRDefault="00A060EF" w:rsidP="00A060EF">
      <w:pPr>
        <w:rPr>
          <w:lang w:val="en-GB" w:eastAsia="zh-CN"/>
        </w:rPr>
      </w:pPr>
      <w:r>
        <w:rPr>
          <w:lang w:val="en-GB" w:eastAsia="zh-CN"/>
        </w:rPr>
        <w:t xml:space="preserve">Looking at the case where only 50% of the satellite beam </w:t>
      </w:r>
      <w:r w:rsidR="00FE3405">
        <w:rPr>
          <w:lang w:val="en-GB" w:eastAsia="zh-CN"/>
        </w:rPr>
        <w:t xml:space="preserve">area </w:t>
      </w:r>
      <w:r>
        <w:rPr>
          <w:lang w:val="en-GB" w:eastAsia="zh-CN"/>
        </w:rPr>
        <w:t xml:space="preserve">will overlap urban macro TNs, the needed ACIR would then be </w:t>
      </w:r>
      <w:r w:rsidR="00E0497A">
        <w:rPr>
          <w:lang w:val="en-GB" w:eastAsia="zh-CN"/>
        </w:rPr>
        <w:t>~</w:t>
      </w:r>
      <w:r>
        <w:rPr>
          <w:lang w:val="en-GB" w:eastAsia="zh-CN"/>
        </w:rPr>
        <w:t>40dB</w:t>
      </w:r>
      <w:r w:rsidR="00F43954">
        <w:rPr>
          <w:lang w:val="en-GB" w:eastAsia="zh-CN"/>
        </w:rPr>
        <w:t xml:space="preserve"> (t</w:t>
      </w:r>
      <w:r>
        <w:rPr>
          <w:lang w:val="en-GB" w:eastAsia="zh-CN"/>
        </w:rPr>
        <w:t>his is the value we would propose then for case 6</w:t>
      </w:r>
      <w:r w:rsidR="00675CC5">
        <w:rPr>
          <w:lang w:val="en-GB" w:eastAsia="zh-CN"/>
        </w:rPr>
        <w:t xml:space="preserve">, </w:t>
      </w:r>
      <w:r w:rsidR="00305458">
        <w:rPr>
          <w:lang w:val="en-GB" w:eastAsia="zh-CN"/>
        </w:rPr>
        <w:t>waiting for</w:t>
      </w:r>
      <w:r w:rsidR="00675CC5">
        <w:rPr>
          <w:lang w:val="en-GB" w:eastAsia="zh-CN"/>
        </w:rPr>
        <w:t xml:space="preserve"> the further analysis </w:t>
      </w:r>
      <w:r w:rsidR="000D3486">
        <w:rPr>
          <w:lang w:val="en-GB" w:eastAsia="zh-CN"/>
        </w:rPr>
        <w:t>made</w:t>
      </w:r>
      <w:r w:rsidR="00646F65">
        <w:rPr>
          <w:lang w:val="en-GB" w:eastAsia="zh-CN"/>
        </w:rPr>
        <w:t xml:space="preserve"> by</w:t>
      </w:r>
      <w:r w:rsidR="00675CC5">
        <w:rPr>
          <w:lang w:val="en-GB" w:eastAsia="zh-CN"/>
        </w:rPr>
        <w:t xml:space="preserve"> other companies</w:t>
      </w:r>
      <w:r w:rsidR="00F43954">
        <w:rPr>
          <w:lang w:val="en-GB" w:eastAsia="zh-CN"/>
        </w:rPr>
        <w:t>)</w:t>
      </w:r>
      <w:r w:rsidR="00675CC5">
        <w:rPr>
          <w:lang w:val="en-GB" w:eastAsia="zh-CN"/>
        </w:rPr>
        <w:t>.</w:t>
      </w:r>
    </w:p>
    <w:p w14:paraId="665920F2" w14:textId="1AF9CD7D" w:rsidR="006B4F4E" w:rsidRPr="006B4F4E" w:rsidRDefault="006B4F4E" w:rsidP="00A060EF">
      <w:pPr>
        <w:rPr>
          <w:b/>
          <w:bCs/>
          <w:lang w:val="en-GB" w:eastAsia="zh-CN"/>
        </w:rPr>
      </w:pPr>
      <w:r w:rsidRPr="006B4F4E">
        <w:rPr>
          <w:b/>
          <w:bCs/>
          <w:lang w:val="en-GB" w:eastAsia="zh-CN"/>
        </w:rPr>
        <w:t>Proposal2: For case 6, considering the scenario with GEO satellite and an elevation angle of 45</w:t>
      </w:r>
      <w:r w:rsidRPr="006B4F4E">
        <w:rPr>
          <w:b/>
          <w:bCs/>
          <w:vertAlign w:val="superscript"/>
          <w:lang w:val="en-GB" w:eastAsia="zh-CN"/>
        </w:rPr>
        <w:t>o</w:t>
      </w:r>
      <w:r w:rsidRPr="006B4F4E">
        <w:rPr>
          <w:b/>
          <w:bCs/>
          <w:lang w:val="en-GB" w:eastAsia="zh-CN"/>
        </w:rPr>
        <w:t xml:space="preserve">, the needed ACIR value should be equal to 40dB to guarantee coexistence. </w:t>
      </w:r>
    </w:p>
    <w:p w14:paraId="73E8F643" w14:textId="104EF227" w:rsidR="00630050" w:rsidRPr="00630050" w:rsidRDefault="00630050" w:rsidP="00630050">
      <w:pPr>
        <w:pStyle w:val="Heading2"/>
        <w:rPr>
          <w:lang w:eastAsia="zh-CN"/>
        </w:rPr>
      </w:pPr>
      <w:r>
        <w:rPr>
          <w:lang w:eastAsia="zh-CN"/>
        </w:rPr>
        <w:t>Conclusion on SAN ACS</w:t>
      </w:r>
    </w:p>
    <w:p w14:paraId="46C8061F" w14:textId="1735588E" w:rsidR="008C5B38" w:rsidRDefault="00FE3405" w:rsidP="009B3863">
      <w:pPr>
        <w:autoSpaceDE w:val="0"/>
        <w:autoSpaceDN w:val="0"/>
        <w:adjustRightInd w:val="0"/>
        <w:spacing w:after="0" w:line="240" w:lineRule="auto"/>
        <w:rPr>
          <w:lang w:val="en-GB" w:eastAsia="zh-CN"/>
        </w:rPr>
      </w:pPr>
      <w:r w:rsidRPr="00FE3405">
        <w:rPr>
          <w:lang w:val="en-GB" w:eastAsia="zh-CN"/>
        </w:rPr>
        <w:t xml:space="preserve">Based on the simulations done for case 6 assuming </w:t>
      </w:r>
      <w:r>
        <w:rPr>
          <w:lang w:val="en-GB" w:eastAsia="zh-CN"/>
        </w:rPr>
        <w:t>50% of the satellite beam area will overlap urban macro TNs, the needed ACIR value would be 40dB.</w:t>
      </w:r>
    </w:p>
    <w:p w14:paraId="74930844" w14:textId="47B10841" w:rsidR="00FE3405" w:rsidRDefault="00FE3405" w:rsidP="009B3863">
      <w:pPr>
        <w:autoSpaceDE w:val="0"/>
        <w:autoSpaceDN w:val="0"/>
        <w:adjustRightInd w:val="0"/>
        <w:spacing w:after="0" w:line="240" w:lineRule="auto"/>
        <w:rPr>
          <w:lang w:val="en-GB" w:eastAsia="zh-CN"/>
        </w:rPr>
      </w:pPr>
    </w:p>
    <w:p w14:paraId="40D1F0DE" w14:textId="5A711AE8" w:rsidR="00FE3405" w:rsidRDefault="00FE3405" w:rsidP="009B3863">
      <w:pPr>
        <w:autoSpaceDE w:val="0"/>
        <w:autoSpaceDN w:val="0"/>
        <w:adjustRightInd w:val="0"/>
        <w:spacing w:after="0" w:line="240" w:lineRule="auto"/>
        <w:rPr>
          <w:lang w:val="en-GB" w:eastAsia="zh-CN"/>
        </w:rPr>
      </w:pPr>
      <w:r w:rsidRPr="00FE3405">
        <w:rPr>
          <w:lang w:val="en-GB" w:eastAsia="zh-CN"/>
        </w:rPr>
        <w:t>From this value, we would propose that SAN ACS should be equal to 40dB</w:t>
      </w:r>
      <w:r w:rsidR="00E83B80">
        <w:rPr>
          <w:lang w:val="en-GB" w:eastAsia="zh-CN"/>
        </w:rPr>
        <w:t>c</w:t>
      </w:r>
      <w:r w:rsidRPr="00FE3405">
        <w:rPr>
          <w:lang w:val="en-GB" w:eastAsia="zh-CN"/>
        </w:rPr>
        <w:t xml:space="preserve">. This value is still 2dB higher than the 38dB which was expected from last RAN4 meeting, but it might still be </w:t>
      </w:r>
      <w:r>
        <w:rPr>
          <w:lang w:val="en-GB" w:eastAsia="zh-CN"/>
        </w:rPr>
        <w:t xml:space="preserve">an </w:t>
      </w:r>
      <w:r w:rsidRPr="00FE3405">
        <w:rPr>
          <w:lang w:val="en-GB" w:eastAsia="zh-CN"/>
        </w:rPr>
        <w:t>acceptable</w:t>
      </w:r>
      <w:r>
        <w:rPr>
          <w:lang w:val="en-GB" w:eastAsia="zh-CN"/>
        </w:rPr>
        <w:t xml:space="preserve"> value. </w:t>
      </w:r>
    </w:p>
    <w:p w14:paraId="67F0A347" w14:textId="2DC900F1" w:rsidR="00FE3405" w:rsidRDefault="00FE3405" w:rsidP="009B3863">
      <w:pPr>
        <w:autoSpaceDE w:val="0"/>
        <w:autoSpaceDN w:val="0"/>
        <w:adjustRightInd w:val="0"/>
        <w:spacing w:after="0" w:line="240" w:lineRule="auto"/>
        <w:rPr>
          <w:lang w:val="en-GB" w:eastAsia="zh-CN"/>
        </w:rPr>
      </w:pPr>
    </w:p>
    <w:p w14:paraId="1335E902" w14:textId="1CEF4E08" w:rsidR="006B4F4E" w:rsidRDefault="006B4F4E" w:rsidP="009B3863">
      <w:pPr>
        <w:autoSpaceDE w:val="0"/>
        <w:autoSpaceDN w:val="0"/>
        <w:adjustRightInd w:val="0"/>
        <w:spacing w:after="0" w:line="240" w:lineRule="auto"/>
        <w:rPr>
          <w:b/>
          <w:bCs/>
          <w:lang w:val="en-GB" w:eastAsia="zh-CN"/>
        </w:rPr>
      </w:pPr>
      <w:r w:rsidRPr="006B4F4E">
        <w:rPr>
          <w:b/>
          <w:bCs/>
          <w:lang w:val="en-GB" w:eastAsia="zh-CN"/>
        </w:rPr>
        <w:t>Proposal3: Based on case 6, the SAN ACS limit should be equal to 40dB</w:t>
      </w:r>
      <w:r w:rsidR="001365DD">
        <w:rPr>
          <w:b/>
          <w:bCs/>
          <w:lang w:val="en-GB" w:eastAsia="zh-CN"/>
        </w:rPr>
        <w:t>c</w:t>
      </w:r>
      <w:r w:rsidRPr="006B4F4E">
        <w:rPr>
          <w:b/>
          <w:bCs/>
          <w:lang w:val="en-GB" w:eastAsia="zh-CN"/>
        </w:rPr>
        <w:t>.</w:t>
      </w:r>
    </w:p>
    <w:p w14:paraId="14C27C5D" w14:textId="0429B1E3" w:rsidR="00A0748D" w:rsidRDefault="00A0748D" w:rsidP="009B3863">
      <w:pPr>
        <w:autoSpaceDE w:val="0"/>
        <w:autoSpaceDN w:val="0"/>
        <w:adjustRightInd w:val="0"/>
        <w:spacing w:after="0" w:line="240" w:lineRule="auto"/>
        <w:rPr>
          <w:b/>
          <w:bCs/>
          <w:lang w:val="en-GB" w:eastAsia="zh-CN"/>
        </w:rPr>
      </w:pPr>
    </w:p>
    <w:p w14:paraId="54457133" w14:textId="77777777" w:rsidR="00FE3405" w:rsidRPr="000C5810" w:rsidRDefault="00FE3405" w:rsidP="009B3863">
      <w:pPr>
        <w:autoSpaceDE w:val="0"/>
        <w:autoSpaceDN w:val="0"/>
        <w:adjustRightInd w:val="0"/>
        <w:spacing w:after="0" w:line="240" w:lineRule="auto"/>
        <w:rPr>
          <w:b/>
          <w:bCs/>
          <w:lang w:val="en-GB" w:eastAsia="zh-CN"/>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6CD84BAD" w:rsidR="00EB476E" w:rsidRDefault="00744830" w:rsidP="00EB476E">
      <w:pPr>
        <w:spacing w:after="120"/>
        <w:jc w:val="both"/>
      </w:pPr>
      <w:r w:rsidRPr="00467DC3">
        <w:t>In this contribution,</w:t>
      </w:r>
      <w:r w:rsidR="0021007D">
        <w:t xml:space="preserve"> </w:t>
      </w:r>
      <w:r w:rsidR="00474B54">
        <w:t xml:space="preserve">we </w:t>
      </w:r>
      <w:r w:rsidR="000470EA">
        <w:t xml:space="preserve">further </w:t>
      </w:r>
      <w:r w:rsidR="00DE5229">
        <w:t>discussed</w:t>
      </w:r>
      <w:r w:rsidR="007B66CE">
        <w:t xml:space="preserve"> </w:t>
      </w:r>
      <w:r w:rsidR="009B397B">
        <w:t>the</w:t>
      </w:r>
      <w:r w:rsidR="000110C9">
        <w:t xml:space="preserve"> </w:t>
      </w:r>
      <w:r w:rsidR="0026320E">
        <w:t>coexistence requirement for NTN UE</w:t>
      </w:r>
      <w:r w:rsidR="000110C9">
        <w:t>. We made the following proposal</w:t>
      </w:r>
      <w:r w:rsidR="0026320E">
        <w:t>s</w:t>
      </w:r>
      <w:r w:rsidR="000110C9">
        <w:t>:</w:t>
      </w:r>
    </w:p>
    <w:p w14:paraId="25989C55" w14:textId="3DD3F5E7" w:rsidR="006B4F4E" w:rsidRDefault="006B4F4E" w:rsidP="006B4F4E">
      <w:pPr>
        <w:rPr>
          <w:b/>
          <w:bCs/>
          <w:lang w:val="en-GB" w:eastAsia="zh-CN"/>
        </w:rPr>
      </w:pPr>
      <w:r w:rsidRPr="006B4F4E">
        <w:rPr>
          <w:b/>
          <w:bCs/>
          <w:lang w:val="en-GB" w:eastAsia="zh-CN"/>
        </w:rPr>
        <w:t>Observation1: For case 6, it’s not realistic to consider that the satellite beam will be full of urban macro TNs.</w:t>
      </w:r>
    </w:p>
    <w:p w14:paraId="03BEA92E" w14:textId="18CFB971" w:rsidR="006B4F4E" w:rsidRPr="006B4F4E" w:rsidRDefault="006B4F4E" w:rsidP="006B4F4E">
      <w:pPr>
        <w:rPr>
          <w:b/>
          <w:bCs/>
          <w:lang w:val="en-GB" w:eastAsia="zh-CN"/>
        </w:rPr>
      </w:pPr>
      <w:r w:rsidRPr="006B4F4E">
        <w:rPr>
          <w:b/>
          <w:bCs/>
          <w:lang w:val="en-GB" w:eastAsia="zh-CN"/>
        </w:rPr>
        <w:t>Proposal</w:t>
      </w:r>
      <w:r>
        <w:rPr>
          <w:b/>
          <w:bCs/>
          <w:lang w:val="en-GB" w:eastAsia="zh-CN"/>
        </w:rPr>
        <w:t>1</w:t>
      </w:r>
      <w:r w:rsidRPr="006B4F4E">
        <w:rPr>
          <w:b/>
          <w:bCs/>
          <w:lang w:val="en-GB" w:eastAsia="zh-CN"/>
        </w:rPr>
        <w:t>: For case 6, consider the following assumption: only 50% of the satellite beam area will occupied by urban macro TNs.</w:t>
      </w:r>
    </w:p>
    <w:p w14:paraId="55856888" w14:textId="7A081CDE" w:rsidR="006B4F4E" w:rsidRPr="006B4F4E" w:rsidRDefault="006B4F4E" w:rsidP="006B4F4E">
      <w:pPr>
        <w:rPr>
          <w:b/>
          <w:bCs/>
          <w:lang w:val="en-GB" w:eastAsia="zh-CN"/>
        </w:rPr>
      </w:pPr>
      <w:r w:rsidRPr="006B4F4E">
        <w:rPr>
          <w:b/>
          <w:bCs/>
          <w:lang w:val="en-GB" w:eastAsia="zh-CN"/>
        </w:rPr>
        <w:t>Proposal2: For case 6, considering the scenario with GEO satellite and an elevation angle of 45</w:t>
      </w:r>
      <w:r w:rsidRPr="006B4F4E">
        <w:rPr>
          <w:b/>
          <w:bCs/>
          <w:vertAlign w:val="superscript"/>
          <w:lang w:val="en-GB" w:eastAsia="zh-CN"/>
        </w:rPr>
        <w:t>o</w:t>
      </w:r>
      <w:r w:rsidRPr="006B4F4E">
        <w:rPr>
          <w:b/>
          <w:bCs/>
          <w:lang w:val="en-GB" w:eastAsia="zh-CN"/>
        </w:rPr>
        <w:t xml:space="preserve">, the needed ACIR value should be equal to 40dB to guarantee coexistence. </w:t>
      </w:r>
    </w:p>
    <w:p w14:paraId="256C54F4" w14:textId="77777777" w:rsidR="006B4F4E" w:rsidRDefault="006B4F4E" w:rsidP="006B4F4E">
      <w:pPr>
        <w:autoSpaceDE w:val="0"/>
        <w:autoSpaceDN w:val="0"/>
        <w:adjustRightInd w:val="0"/>
        <w:spacing w:after="0" w:line="240" w:lineRule="auto"/>
        <w:rPr>
          <w:b/>
          <w:bCs/>
          <w:lang w:val="en-GB" w:eastAsia="zh-CN"/>
        </w:rPr>
      </w:pPr>
    </w:p>
    <w:p w14:paraId="5D6FF2BF" w14:textId="23915B1B" w:rsidR="006B4F4E" w:rsidRPr="006B4F4E" w:rsidRDefault="006B4F4E" w:rsidP="006B4F4E">
      <w:pPr>
        <w:autoSpaceDE w:val="0"/>
        <w:autoSpaceDN w:val="0"/>
        <w:adjustRightInd w:val="0"/>
        <w:spacing w:after="0" w:line="240" w:lineRule="auto"/>
        <w:rPr>
          <w:b/>
          <w:bCs/>
          <w:lang w:val="en-GB" w:eastAsia="zh-CN"/>
        </w:rPr>
      </w:pPr>
      <w:r w:rsidRPr="006B4F4E">
        <w:rPr>
          <w:b/>
          <w:bCs/>
          <w:lang w:val="en-GB" w:eastAsia="zh-CN"/>
        </w:rPr>
        <w:t>Proposal3: Based on case 6</w:t>
      </w:r>
      <w:r w:rsidR="00A0748D">
        <w:rPr>
          <w:b/>
          <w:bCs/>
          <w:lang w:val="en-GB" w:eastAsia="zh-CN"/>
        </w:rPr>
        <w:t xml:space="preserve"> and the new assumption (50% TNs)</w:t>
      </w:r>
      <w:r w:rsidRPr="006B4F4E">
        <w:rPr>
          <w:b/>
          <w:bCs/>
          <w:lang w:val="en-GB" w:eastAsia="zh-CN"/>
        </w:rPr>
        <w:t>, the SAN ACS limit should be equal to 40dB</w:t>
      </w:r>
      <w:r w:rsidR="001365DD">
        <w:rPr>
          <w:b/>
          <w:bCs/>
          <w:lang w:val="en-GB" w:eastAsia="zh-CN"/>
        </w:rPr>
        <w:t>c</w:t>
      </w:r>
      <w:r w:rsidRPr="006B4F4E">
        <w:rPr>
          <w:b/>
          <w:bCs/>
          <w:lang w:val="en-GB" w:eastAsia="zh-CN"/>
        </w:rPr>
        <w:t>.</w:t>
      </w:r>
    </w:p>
    <w:p w14:paraId="4563C250" w14:textId="77777777" w:rsidR="006827BC" w:rsidRDefault="006827BC" w:rsidP="006827BC">
      <w:pPr>
        <w:rPr>
          <w:b/>
          <w:bCs/>
          <w:lang w:val="en-GB" w:eastAsia="zh-CN"/>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C647B4" w:rsidRDefault="00974B3A" w:rsidP="00974B3A">
      <w:pPr>
        <w:numPr>
          <w:ilvl w:val="0"/>
          <w:numId w:val="9"/>
        </w:numPr>
        <w:rPr>
          <w:bCs/>
        </w:rPr>
      </w:pPr>
      <w:bookmarkStart w:id="5" w:name="_Ref71297840"/>
      <w:r w:rsidRPr="00C647B4">
        <w:t>RP-20</w:t>
      </w:r>
      <w:r>
        <w:t>1256</w:t>
      </w:r>
      <w:r w:rsidRPr="00C647B4">
        <w:t xml:space="preserve">, </w:t>
      </w:r>
      <w:r w:rsidRPr="00D130F7">
        <w:t>Solutions for NR to support non-terrestrial networks (NTN), Thales</w:t>
      </w:r>
      <w:bookmarkEnd w:id="5"/>
      <w:r w:rsidRPr="00C647B4">
        <w:t xml:space="preserve"> </w:t>
      </w:r>
    </w:p>
    <w:p w14:paraId="33347ACA" w14:textId="547BDD9B" w:rsidR="00C56E50" w:rsidRPr="00C647B4" w:rsidRDefault="00C56E50" w:rsidP="00C56E50">
      <w:pPr>
        <w:numPr>
          <w:ilvl w:val="0"/>
          <w:numId w:val="9"/>
        </w:numPr>
        <w:rPr>
          <w:bCs/>
          <w:lang w:val="en-US"/>
        </w:rPr>
      </w:pPr>
      <w:bookmarkStart w:id="6" w:name="_Ref61295180"/>
      <w:r w:rsidRPr="00C647B4">
        <w:rPr>
          <w:lang w:val="en-US"/>
        </w:rPr>
        <w:t>RP-2</w:t>
      </w:r>
      <w:r w:rsidR="00A55351">
        <w:rPr>
          <w:lang w:val="en-US"/>
        </w:rPr>
        <w:t>1</w:t>
      </w:r>
      <w:r w:rsidR="009A5BA7">
        <w:rPr>
          <w:lang w:val="en-US"/>
        </w:rPr>
        <w:t>3691</w:t>
      </w:r>
      <w:r w:rsidRPr="00C647B4">
        <w:rPr>
          <w:lang w:val="en-US"/>
        </w:rPr>
        <w:t xml:space="preserve">, </w:t>
      </w:r>
      <w:r w:rsidRPr="00D130F7">
        <w:rPr>
          <w:lang w:val="en-US"/>
        </w:rPr>
        <w:t>Solutions for NR to support non-terrestrial networks (NTN), Thales</w:t>
      </w:r>
      <w:bookmarkEnd w:id="6"/>
      <w:r w:rsidRPr="00C647B4">
        <w:rPr>
          <w:lang w:val="en-US"/>
        </w:rPr>
        <w:t xml:space="preserve"> </w:t>
      </w:r>
    </w:p>
    <w:p w14:paraId="0426CE8E" w14:textId="727C01C6" w:rsidR="00FF3216" w:rsidRPr="004A5C3F" w:rsidRDefault="001A6F7E" w:rsidP="00FF3216">
      <w:pPr>
        <w:numPr>
          <w:ilvl w:val="0"/>
          <w:numId w:val="9"/>
        </w:numPr>
        <w:rPr>
          <w:lang w:val="en-US"/>
        </w:rPr>
      </w:pPr>
      <w:bookmarkStart w:id="7" w:name="_Ref67507636"/>
      <w:bookmarkStart w:id="8" w:name="_Ref95406940"/>
      <w:bookmarkStart w:id="9" w:name="_Ref61295265"/>
      <w:r>
        <w:rPr>
          <w:lang w:val="en-GB" w:eastAsia="ja-JP"/>
        </w:rPr>
        <w:t>R4-2</w:t>
      </w:r>
      <w:r w:rsidR="004A5C3F">
        <w:rPr>
          <w:lang w:val="en-GB" w:eastAsia="ja-JP"/>
        </w:rPr>
        <w:t>203036</w:t>
      </w:r>
      <w:r>
        <w:rPr>
          <w:lang w:val="en-GB" w:eastAsia="ja-JP"/>
        </w:rPr>
        <w:t xml:space="preserve">, </w:t>
      </w:r>
      <w:bookmarkEnd w:id="7"/>
      <w:r w:rsidR="00FC311E" w:rsidRPr="00FC311E">
        <w:rPr>
          <w:lang w:val="en-US"/>
        </w:rPr>
        <w:t>WF on [307] NTN_Solutions_Part2, Samsung</w:t>
      </w:r>
      <w:bookmarkEnd w:id="8"/>
      <w:bookmarkEnd w:id="9"/>
    </w:p>
    <w:sectPr w:rsidR="00FF3216" w:rsidRPr="004A5C3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75E0D" w14:textId="77777777" w:rsidR="00996E42" w:rsidRDefault="00996E42">
      <w:r>
        <w:separator/>
      </w:r>
    </w:p>
  </w:endnote>
  <w:endnote w:type="continuationSeparator" w:id="0">
    <w:p w14:paraId="02C9BBD0" w14:textId="77777777" w:rsidR="00996E42" w:rsidRDefault="0099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C1FCD" w14:textId="77777777" w:rsidR="00996E42" w:rsidRDefault="00996E42">
      <w:r>
        <w:separator/>
      </w:r>
    </w:p>
  </w:footnote>
  <w:footnote w:type="continuationSeparator" w:id="0">
    <w:p w14:paraId="4F6D34E8" w14:textId="77777777" w:rsidR="00996E42" w:rsidRDefault="00996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5"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3E2669"/>
    <w:multiLevelType w:val="hybridMultilevel"/>
    <w:tmpl w:val="DCA07834"/>
    <w:lvl w:ilvl="0" w:tplc="77CEBC1A">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AC0A93"/>
    <w:multiLevelType w:val="hybridMultilevel"/>
    <w:tmpl w:val="EDB6F2E4"/>
    <w:lvl w:ilvl="0" w:tplc="28E65854">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4"/>
  </w:num>
  <w:num w:numId="2">
    <w:abstractNumId w:val="3"/>
  </w:num>
  <w:num w:numId="3">
    <w:abstractNumId w:val="15"/>
  </w:num>
  <w:num w:numId="4">
    <w:abstractNumId w:val="0"/>
  </w:num>
  <w:num w:numId="5">
    <w:abstractNumId w:val="9"/>
  </w:num>
  <w:num w:numId="6">
    <w:abstractNumId w:val="7"/>
  </w:num>
  <w:num w:numId="7">
    <w:abstractNumId w:val="5"/>
  </w:num>
  <w:num w:numId="8">
    <w:abstractNumId w:val="10"/>
  </w:num>
  <w:num w:numId="9">
    <w:abstractNumId w:val="17"/>
  </w:num>
  <w:num w:numId="10">
    <w:abstractNumId w:val="13"/>
  </w:num>
  <w:num w:numId="11">
    <w:abstractNumId w:val="6"/>
  </w:num>
  <w:num w:numId="12">
    <w:abstractNumId w:val="14"/>
  </w:num>
  <w:num w:numId="13">
    <w:abstractNumId w:val="16"/>
  </w:num>
  <w:num w:numId="14">
    <w:abstractNumId w:val="1"/>
  </w:num>
  <w:num w:numId="15">
    <w:abstractNumId w:val="2"/>
  </w:num>
  <w:num w:numId="16">
    <w:abstractNumId w:val="12"/>
  </w:num>
  <w:num w:numId="17">
    <w:abstractNumId w:val="11"/>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560"/>
    <w:rsid w:val="00006E8B"/>
    <w:rsid w:val="00007383"/>
    <w:rsid w:val="000076B2"/>
    <w:rsid w:val="000100B6"/>
    <w:rsid w:val="00010797"/>
    <w:rsid w:val="00010A75"/>
    <w:rsid w:val="00010ADE"/>
    <w:rsid w:val="00010B69"/>
    <w:rsid w:val="00010FD2"/>
    <w:rsid w:val="000110C9"/>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0EA"/>
    <w:rsid w:val="00047633"/>
    <w:rsid w:val="000506D1"/>
    <w:rsid w:val="0005124F"/>
    <w:rsid w:val="000512D7"/>
    <w:rsid w:val="00052203"/>
    <w:rsid w:val="0005322D"/>
    <w:rsid w:val="000546E4"/>
    <w:rsid w:val="000569F1"/>
    <w:rsid w:val="00057082"/>
    <w:rsid w:val="0005724A"/>
    <w:rsid w:val="00057393"/>
    <w:rsid w:val="00060156"/>
    <w:rsid w:val="0006072E"/>
    <w:rsid w:val="00060A4C"/>
    <w:rsid w:val="0006122C"/>
    <w:rsid w:val="0006141D"/>
    <w:rsid w:val="00061C1C"/>
    <w:rsid w:val="00061FE9"/>
    <w:rsid w:val="00062721"/>
    <w:rsid w:val="000628AF"/>
    <w:rsid w:val="00062B1F"/>
    <w:rsid w:val="00063DFF"/>
    <w:rsid w:val="0006509F"/>
    <w:rsid w:val="00065A4D"/>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5C0"/>
    <w:rsid w:val="000C2A54"/>
    <w:rsid w:val="000C3205"/>
    <w:rsid w:val="000C43C5"/>
    <w:rsid w:val="000C5810"/>
    <w:rsid w:val="000C658F"/>
    <w:rsid w:val="000C67FE"/>
    <w:rsid w:val="000C6A94"/>
    <w:rsid w:val="000D2123"/>
    <w:rsid w:val="000D2866"/>
    <w:rsid w:val="000D3387"/>
    <w:rsid w:val="000D3486"/>
    <w:rsid w:val="000D37A6"/>
    <w:rsid w:val="000D4170"/>
    <w:rsid w:val="000D46C8"/>
    <w:rsid w:val="000D481D"/>
    <w:rsid w:val="000D4C76"/>
    <w:rsid w:val="000D5922"/>
    <w:rsid w:val="000D5E49"/>
    <w:rsid w:val="000D687C"/>
    <w:rsid w:val="000D7D92"/>
    <w:rsid w:val="000E01B7"/>
    <w:rsid w:val="000E01EC"/>
    <w:rsid w:val="000E07D0"/>
    <w:rsid w:val="000E0A69"/>
    <w:rsid w:val="000E0DF0"/>
    <w:rsid w:val="000E0E1A"/>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16CDB"/>
    <w:rsid w:val="00120BEB"/>
    <w:rsid w:val="0012178E"/>
    <w:rsid w:val="001217A1"/>
    <w:rsid w:val="001217F8"/>
    <w:rsid w:val="00121EA2"/>
    <w:rsid w:val="001221B5"/>
    <w:rsid w:val="001221FA"/>
    <w:rsid w:val="001229AA"/>
    <w:rsid w:val="00122D05"/>
    <w:rsid w:val="00124028"/>
    <w:rsid w:val="001242F4"/>
    <w:rsid w:val="001246BD"/>
    <w:rsid w:val="00124AB3"/>
    <w:rsid w:val="00125208"/>
    <w:rsid w:val="001256D5"/>
    <w:rsid w:val="00125C61"/>
    <w:rsid w:val="001260A0"/>
    <w:rsid w:val="00126158"/>
    <w:rsid w:val="001268C6"/>
    <w:rsid w:val="00126B23"/>
    <w:rsid w:val="00127316"/>
    <w:rsid w:val="00127A02"/>
    <w:rsid w:val="00131977"/>
    <w:rsid w:val="00131FE6"/>
    <w:rsid w:val="00132A39"/>
    <w:rsid w:val="001332B5"/>
    <w:rsid w:val="00133B5A"/>
    <w:rsid w:val="00134034"/>
    <w:rsid w:val="001342CA"/>
    <w:rsid w:val="001344F6"/>
    <w:rsid w:val="00134624"/>
    <w:rsid w:val="0013470A"/>
    <w:rsid w:val="00134CFA"/>
    <w:rsid w:val="001357BA"/>
    <w:rsid w:val="001365DD"/>
    <w:rsid w:val="00136AA9"/>
    <w:rsid w:val="00136EA9"/>
    <w:rsid w:val="001370BE"/>
    <w:rsid w:val="00137C7B"/>
    <w:rsid w:val="00140871"/>
    <w:rsid w:val="0014176E"/>
    <w:rsid w:val="0014195E"/>
    <w:rsid w:val="00141F56"/>
    <w:rsid w:val="00142116"/>
    <w:rsid w:val="00142474"/>
    <w:rsid w:val="001435AA"/>
    <w:rsid w:val="001435DB"/>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9F7"/>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03F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36C"/>
    <w:rsid w:val="001D4B76"/>
    <w:rsid w:val="001D54D8"/>
    <w:rsid w:val="001D6A68"/>
    <w:rsid w:val="001D6E8D"/>
    <w:rsid w:val="001D7170"/>
    <w:rsid w:val="001D77EC"/>
    <w:rsid w:val="001E0076"/>
    <w:rsid w:val="001E1589"/>
    <w:rsid w:val="001E1B08"/>
    <w:rsid w:val="001E2964"/>
    <w:rsid w:val="001E2ACC"/>
    <w:rsid w:val="001E3ADC"/>
    <w:rsid w:val="001E46D7"/>
    <w:rsid w:val="001E4726"/>
    <w:rsid w:val="001E4C6D"/>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B9E"/>
    <w:rsid w:val="00225C16"/>
    <w:rsid w:val="00225D40"/>
    <w:rsid w:val="00226A03"/>
    <w:rsid w:val="00227688"/>
    <w:rsid w:val="002302FF"/>
    <w:rsid w:val="0023096E"/>
    <w:rsid w:val="00230ED6"/>
    <w:rsid w:val="00231A0C"/>
    <w:rsid w:val="00231F65"/>
    <w:rsid w:val="00232E7A"/>
    <w:rsid w:val="0023324B"/>
    <w:rsid w:val="0023326D"/>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0E"/>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62A4"/>
    <w:rsid w:val="00277765"/>
    <w:rsid w:val="002778BB"/>
    <w:rsid w:val="00277B2B"/>
    <w:rsid w:val="00280DEF"/>
    <w:rsid w:val="002812A1"/>
    <w:rsid w:val="002816FD"/>
    <w:rsid w:val="00281DE1"/>
    <w:rsid w:val="002831F0"/>
    <w:rsid w:val="0028327D"/>
    <w:rsid w:val="00283592"/>
    <w:rsid w:val="00283597"/>
    <w:rsid w:val="002840A9"/>
    <w:rsid w:val="0028470F"/>
    <w:rsid w:val="00285270"/>
    <w:rsid w:val="00286875"/>
    <w:rsid w:val="0028699B"/>
    <w:rsid w:val="00286E19"/>
    <w:rsid w:val="00287BB8"/>
    <w:rsid w:val="0029074D"/>
    <w:rsid w:val="00290CF1"/>
    <w:rsid w:val="0029166C"/>
    <w:rsid w:val="0029212E"/>
    <w:rsid w:val="002928FF"/>
    <w:rsid w:val="00295EA1"/>
    <w:rsid w:val="00296DCC"/>
    <w:rsid w:val="00297B5B"/>
    <w:rsid w:val="00297BD1"/>
    <w:rsid w:val="00297F05"/>
    <w:rsid w:val="002A01C4"/>
    <w:rsid w:val="002A0DC0"/>
    <w:rsid w:val="002A118B"/>
    <w:rsid w:val="002A1401"/>
    <w:rsid w:val="002A1743"/>
    <w:rsid w:val="002A1C4E"/>
    <w:rsid w:val="002A1F19"/>
    <w:rsid w:val="002A262F"/>
    <w:rsid w:val="002A3752"/>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67E"/>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167"/>
    <w:rsid w:val="002E027E"/>
    <w:rsid w:val="002E05B5"/>
    <w:rsid w:val="002E0E87"/>
    <w:rsid w:val="002E12A0"/>
    <w:rsid w:val="002E1770"/>
    <w:rsid w:val="002E1808"/>
    <w:rsid w:val="002E25AB"/>
    <w:rsid w:val="002E2A25"/>
    <w:rsid w:val="002E328C"/>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545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034A"/>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6A41"/>
    <w:rsid w:val="00326B5B"/>
    <w:rsid w:val="00326E44"/>
    <w:rsid w:val="00327023"/>
    <w:rsid w:val="003271A7"/>
    <w:rsid w:val="00327431"/>
    <w:rsid w:val="00330ABC"/>
    <w:rsid w:val="00331664"/>
    <w:rsid w:val="00331CAB"/>
    <w:rsid w:val="00331EBE"/>
    <w:rsid w:val="00333551"/>
    <w:rsid w:val="0033360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1851"/>
    <w:rsid w:val="003835AE"/>
    <w:rsid w:val="003836B3"/>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92E"/>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47AA"/>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083"/>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679"/>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2221"/>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F0E"/>
    <w:rsid w:val="004A1F17"/>
    <w:rsid w:val="004A31C5"/>
    <w:rsid w:val="004A3C73"/>
    <w:rsid w:val="004A4690"/>
    <w:rsid w:val="004A4844"/>
    <w:rsid w:val="004A517B"/>
    <w:rsid w:val="004A59C0"/>
    <w:rsid w:val="004A5BF5"/>
    <w:rsid w:val="004A5C3F"/>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E7F7B"/>
    <w:rsid w:val="004F05E7"/>
    <w:rsid w:val="004F0707"/>
    <w:rsid w:val="004F0A0A"/>
    <w:rsid w:val="004F123F"/>
    <w:rsid w:val="004F1614"/>
    <w:rsid w:val="004F1715"/>
    <w:rsid w:val="004F2058"/>
    <w:rsid w:val="004F279F"/>
    <w:rsid w:val="004F3FF8"/>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AFE"/>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872"/>
    <w:rsid w:val="00544F95"/>
    <w:rsid w:val="00544FF3"/>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425D"/>
    <w:rsid w:val="005572E8"/>
    <w:rsid w:val="005578B2"/>
    <w:rsid w:val="00557CB4"/>
    <w:rsid w:val="00557D90"/>
    <w:rsid w:val="00557EA3"/>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1F6A"/>
    <w:rsid w:val="006023D3"/>
    <w:rsid w:val="006024D7"/>
    <w:rsid w:val="00604415"/>
    <w:rsid w:val="00604448"/>
    <w:rsid w:val="0060452A"/>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050"/>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6F65"/>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0BC"/>
    <w:rsid w:val="00667487"/>
    <w:rsid w:val="0067141B"/>
    <w:rsid w:val="00673EF7"/>
    <w:rsid w:val="00674E3E"/>
    <w:rsid w:val="00674F79"/>
    <w:rsid w:val="00674F84"/>
    <w:rsid w:val="0067510C"/>
    <w:rsid w:val="006751B0"/>
    <w:rsid w:val="0067527E"/>
    <w:rsid w:val="00675CC5"/>
    <w:rsid w:val="00675FCE"/>
    <w:rsid w:val="00677412"/>
    <w:rsid w:val="00680483"/>
    <w:rsid w:val="00680D83"/>
    <w:rsid w:val="00680F0A"/>
    <w:rsid w:val="00680F94"/>
    <w:rsid w:val="006827BC"/>
    <w:rsid w:val="00682D71"/>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D5C"/>
    <w:rsid w:val="006B1FBE"/>
    <w:rsid w:val="006B238A"/>
    <w:rsid w:val="006B29BB"/>
    <w:rsid w:val="006B3D7A"/>
    <w:rsid w:val="006B3FE6"/>
    <w:rsid w:val="006B44BC"/>
    <w:rsid w:val="006B4F4E"/>
    <w:rsid w:val="006B5F99"/>
    <w:rsid w:val="006B6DE4"/>
    <w:rsid w:val="006B72D7"/>
    <w:rsid w:val="006B7E14"/>
    <w:rsid w:val="006C073D"/>
    <w:rsid w:val="006C1658"/>
    <w:rsid w:val="006C1B72"/>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5CA"/>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03D"/>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3C1D"/>
    <w:rsid w:val="00724478"/>
    <w:rsid w:val="00724554"/>
    <w:rsid w:val="00724688"/>
    <w:rsid w:val="0072603E"/>
    <w:rsid w:val="00726CEC"/>
    <w:rsid w:val="00727FE4"/>
    <w:rsid w:val="007315E5"/>
    <w:rsid w:val="007322AB"/>
    <w:rsid w:val="00732A05"/>
    <w:rsid w:val="00732C68"/>
    <w:rsid w:val="007336A0"/>
    <w:rsid w:val="00734235"/>
    <w:rsid w:val="00734929"/>
    <w:rsid w:val="0073507A"/>
    <w:rsid w:val="00736866"/>
    <w:rsid w:val="00736B55"/>
    <w:rsid w:val="0073761D"/>
    <w:rsid w:val="00737B89"/>
    <w:rsid w:val="00740BB5"/>
    <w:rsid w:val="0074305B"/>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4D4A"/>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402D"/>
    <w:rsid w:val="00794981"/>
    <w:rsid w:val="00794C46"/>
    <w:rsid w:val="007955A8"/>
    <w:rsid w:val="0079603C"/>
    <w:rsid w:val="00796779"/>
    <w:rsid w:val="007969BC"/>
    <w:rsid w:val="00796E66"/>
    <w:rsid w:val="007A0229"/>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2B4B"/>
    <w:rsid w:val="007B32DE"/>
    <w:rsid w:val="007B3635"/>
    <w:rsid w:val="007B3810"/>
    <w:rsid w:val="007B3B8B"/>
    <w:rsid w:val="007B3E7C"/>
    <w:rsid w:val="007B420E"/>
    <w:rsid w:val="007B5E41"/>
    <w:rsid w:val="007B66CE"/>
    <w:rsid w:val="007B70A5"/>
    <w:rsid w:val="007B70D6"/>
    <w:rsid w:val="007B7357"/>
    <w:rsid w:val="007C0A55"/>
    <w:rsid w:val="007C1CA2"/>
    <w:rsid w:val="007C23C7"/>
    <w:rsid w:val="007C2716"/>
    <w:rsid w:val="007C31C0"/>
    <w:rsid w:val="007C35E5"/>
    <w:rsid w:val="007C38EF"/>
    <w:rsid w:val="007C3C1B"/>
    <w:rsid w:val="007C42DE"/>
    <w:rsid w:val="007C5538"/>
    <w:rsid w:val="007C5A07"/>
    <w:rsid w:val="007C5F71"/>
    <w:rsid w:val="007C60A0"/>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7F6AF5"/>
    <w:rsid w:val="007F7927"/>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16A"/>
    <w:rsid w:val="00814278"/>
    <w:rsid w:val="008143CD"/>
    <w:rsid w:val="00815003"/>
    <w:rsid w:val="008154A5"/>
    <w:rsid w:val="00815F16"/>
    <w:rsid w:val="0081737F"/>
    <w:rsid w:val="008174F3"/>
    <w:rsid w:val="00817C9D"/>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6CE8"/>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4A36"/>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55EE"/>
    <w:rsid w:val="008A5A83"/>
    <w:rsid w:val="008A5D64"/>
    <w:rsid w:val="008A5E80"/>
    <w:rsid w:val="008A64F0"/>
    <w:rsid w:val="008A6A38"/>
    <w:rsid w:val="008A729E"/>
    <w:rsid w:val="008B0812"/>
    <w:rsid w:val="008B0FAA"/>
    <w:rsid w:val="008B23DD"/>
    <w:rsid w:val="008B2FC7"/>
    <w:rsid w:val="008B3C36"/>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5B38"/>
    <w:rsid w:val="008C7085"/>
    <w:rsid w:val="008C78B4"/>
    <w:rsid w:val="008C7C0C"/>
    <w:rsid w:val="008D1B2B"/>
    <w:rsid w:val="008D1B6D"/>
    <w:rsid w:val="008D1BD0"/>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0DF"/>
    <w:rsid w:val="008F515D"/>
    <w:rsid w:val="008F5167"/>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4CE1"/>
    <w:rsid w:val="0090504C"/>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68D"/>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5B0"/>
    <w:rsid w:val="009507A7"/>
    <w:rsid w:val="00951C88"/>
    <w:rsid w:val="00951DA4"/>
    <w:rsid w:val="00952330"/>
    <w:rsid w:val="00952B16"/>
    <w:rsid w:val="00952E95"/>
    <w:rsid w:val="00953049"/>
    <w:rsid w:val="009536A8"/>
    <w:rsid w:val="00953E1C"/>
    <w:rsid w:val="00953F92"/>
    <w:rsid w:val="00954621"/>
    <w:rsid w:val="00954A47"/>
    <w:rsid w:val="009552EC"/>
    <w:rsid w:val="00955E56"/>
    <w:rsid w:val="0095685A"/>
    <w:rsid w:val="00956BEE"/>
    <w:rsid w:val="00957467"/>
    <w:rsid w:val="00957486"/>
    <w:rsid w:val="00957B20"/>
    <w:rsid w:val="00957BDC"/>
    <w:rsid w:val="00960116"/>
    <w:rsid w:val="00960CE0"/>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67739"/>
    <w:rsid w:val="0097032C"/>
    <w:rsid w:val="00970462"/>
    <w:rsid w:val="00970636"/>
    <w:rsid w:val="00970A12"/>
    <w:rsid w:val="009710C6"/>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4DC6"/>
    <w:rsid w:val="00995AFF"/>
    <w:rsid w:val="00996589"/>
    <w:rsid w:val="00996E42"/>
    <w:rsid w:val="009972FA"/>
    <w:rsid w:val="009975CE"/>
    <w:rsid w:val="00997812"/>
    <w:rsid w:val="009978AF"/>
    <w:rsid w:val="009A0389"/>
    <w:rsid w:val="009A0686"/>
    <w:rsid w:val="009A0E83"/>
    <w:rsid w:val="009A1C9E"/>
    <w:rsid w:val="009A2F09"/>
    <w:rsid w:val="009A3F35"/>
    <w:rsid w:val="009A4310"/>
    <w:rsid w:val="009A4E07"/>
    <w:rsid w:val="009A4EB1"/>
    <w:rsid w:val="009A5BA7"/>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863"/>
    <w:rsid w:val="009B397B"/>
    <w:rsid w:val="009B3AC6"/>
    <w:rsid w:val="009B3E6A"/>
    <w:rsid w:val="009B4053"/>
    <w:rsid w:val="009B428D"/>
    <w:rsid w:val="009B4AC7"/>
    <w:rsid w:val="009B56DD"/>
    <w:rsid w:val="009B59B1"/>
    <w:rsid w:val="009B5B0D"/>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0EF"/>
    <w:rsid w:val="00A06130"/>
    <w:rsid w:val="00A065DB"/>
    <w:rsid w:val="00A0748D"/>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1D7"/>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35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84F"/>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58B"/>
    <w:rsid w:val="00A917EB"/>
    <w:rsid w:val="00A91920"/>
    <w:rsid w:val="00A92728"/>
    <w:rsid w:val="00A92944"/>
    <w:rsid w:val="00A949DC"/>
    <w:rsid w:val="00A94C5A"/>
    <w:rsid w:val="00A94FFD"/>
    <w:rsid w:val="00A9592F"/>
    <w:rsid w:val="00A96831"/>
    <w:rsid w:val="00A96EB4"/>
    <w:rsid w:val="00A97B12"/>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571"/>
    <w:rsid w:val="00AE3E16"/>
    <w:rsid w:val="00AE4968"/>
    <w:rsid w:val="00AE5068"/>
    <w:rsid w:val="00AE53F9"/>
    <w:rsid w:val="00AE54CF"/>
    <w:rsid w:val="00AE5C0B"/>
    <w:rsid w:val="00AE6A7C"/>
    <w:rsid w:val="00AE75DF"/>
    <w:rsid w:val="00AE786A"/>
    <w:rsid w:val="00AF0F67"/>
    <w:rsid w:val="00AF1EBD"/>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A75B4"/>
    <w:rsid w:val="00BB06D1"/>
    <w:rsid w:val="00BB0916"/>
    <w:rsid w:val="00BB167C"/>
    <w:rsid w:val="00BB28ED"/>
    <w:rsid w:val="00BB372D"/>
    <w:rsid w:val="00BB3C30"/>
    <w:rsid w:val="00BB3D02"/>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5DB4"/>
    <w:rsid w:val="00BD655C"/>
    <w:rsid w:val="00BD699C"/>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4977"/>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4FB2"/>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9A"/>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350D"/>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4F59"/>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1541"/>
    <w:rsid w:val="00D12042"/>
    <w:rsid w:val="00D12C3E"/>
    <w:rsid w:val="00D12DFA"/>
    <w:rsid w:val="00D12F0F"/>
    <w:rsid w:val="00D14511"/>
    <w:rsid w:val="00D154F1"/>
    <w:rsid w:val="00D15E7C"/>
    <w:rsid w:val="00D16EC3"/>
    <w:rsid w:val="00D175DA"/>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0CD6"/>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7B8"/>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4D8D"/>
    <w:rsid w:val="00D84E89"/>
    <w:rsid w:val="00D85B81"/>
    <w:rsid w:val="00D85B9C"/>
    <w:rsid w:val="00D86F1B"/>
    <w:rsid w:val="00D8779B"/>
    <w:rsid w:val="00D87AEB"/>
    <w:rsid w:val="00D87CC2"/>
    <w:rsid w:val="00D90EAE"/>
    <w:rsid w:val="00D914B7"/>
    <w:rsid w:val="00D923BF"/>
    <w:rsid w:val="00D92470"/>
    <w:rsid w:val="00D94C30"/>
    <w:rsid w:val="00D95EE6"/>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B7492"/>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C6"/>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E6E94"/>
    <w:rsid w:val="00DF05F1"/>
    <w:rsid w:val="00DF0A13"/>
    <w:rsid w:val="00DF1B9B"/>
    <w:rsid w:val="00DF1C5C"/>
    <w:rsid w:val="00DF1F60"/>
    <w:rsid w:val="00DF21BA"/>
    <w:rsid w:val="00DF22E8"/>
    <w:rsid w:val="00DF2C40"/>
    <w:rsid w:val="00DF4587"/>
    <w:rsid w:val="00DF45D0"/>
    <w:rsid w:val="00DF5377"/>
    <w:rsid w:val="00DF5502"/>
    <w:rsid w:val="00DF574F"/>
    <w:rsid w:val="00DF5B7F"/>
    <w:rsid w:val="00DF5FF7"/>
    <w:rsid w:val="00E00161"/>
    <w:rsid w:val="00E01540"/>
    <w:rsid w:val="00E0188B"/>
    <w:rsid w:val="00E03E0D"/>
    <w:rsid w:val="00E042A7"/>
    <w:rsid w:val="00E0497A"/>
    <w:rsid w:val="00E05B61"/>
    <w:rsid w:val="00E06611"/>
    <w:rsid w:val="00E06DB0"/>
    <w:rsid w:val="00E1034E"/>
    <w:rsid w:val="00E106CD"/>
    <w:rsid w:val="00E108B9"/>
    <w:rsid w:val="00E10B56"/>
    <w:rsid w:val="00E10C24"/>
    <w:rsid w:val="00E10CA5"/>
    <w:rsid w:val="00E10D1E"/>
    <w:rsid w:val="00E12CF3"/>
    <w:rsid w:val="00E13239"/>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04F2"/>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B0E"/>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3B80"/>
    <w:rsid w:val="00E85053"/>
    <w:rsid w:val="00E8607D"/>
    <w:rsid w:val="00E86BBF"/>
    <w:rsid w:val="00E87508"/>
    <w:rsid w:val="00E9045B"/>
    <w:rsid w:val="00E910E4"/>
    <w:rsid w:val="00E91BE5"/>
    <w:rsid w:val="00E91D15"/>
    <w:rsid w:val="00E91FE7"/>
    <w:rsid w:val="00E91FEA"/>
    <w:rsid w:val="00E91FEE"/>
    <w:rsid w:val="00E921B5"/>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397A"/>
    <w:rsid w:val="00EA431B"/>
    <w:rsid w:val="00EA46FF"/>
    <w:rsid w:val="00EA475B"/>
    <w:rsid w:val="00EA564F"/>
    <w:rsid w:val="00EA60DB"/>
    <w:rsid w:val="00EA650D"/>
    <w:rsid w:val="00EA6A3F"/>
    <w:rsid w:val="00EA6F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258"/>
    <w:rsid w:val="00EC18FA"/>
    <w:rsid w:val="00EC2B95"/>
    <w:rsid w:val="00EC2BF2"/>
    <w:rsid w:val="00EC3403"/>
    <w:rsid w:val="00EC3469"/>
    <w:rsid w:val="00EC3BA4"/>
    <w:rsid w:val="00EC3E8F"/>
    <w:rsid w:val="00EC4748"/>
    <w:rsid w:val="00EC5E4C"/>
    <w:rsid w:val="00EC60CF"/>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4B0"/>
    <w:rsid w:val="00F41E98"/>
    <w:rsid w:val="00F42329"/>
    <w:rsid w:val="00F427FD"/>
    <w:rsid w:val="00F43954"/>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57D9B"/>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6D37"/>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507"/>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11E"/>
    <w:rsid w:val="00FC3E87"/>
    <w:rsid w:val="00FC462E"/>
    <w:rsid w:val="00FC49E3"/>
    <w:rsid w:val="00FC4C5C"/>
    <w:rsid w:val="00FC4F91"/>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4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216"/>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58B"/>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A915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58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6822235">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153231594">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286014123">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30186357">
      <w:bodyDiv w:val="1"/>
      <w:marLeft w:val="0"/>
      <w:marRight w:val="0"/>
      <w:marTop w:val="0"/>
      <w:marBottom w:val="0"/>
      <w:divBdr>
        <w:top w:val="none" w:sz="0" w:space="0" w:color="auto"/>
        <w:left w:val="none" w:sz="0" w:space="0" w:color="auto"/>
        <w:bottom w:val="none" w:sz="0" w:space="0" w:color="auto"/>
        <w:right w:val="none" w:sz="0" w:space="0" w:color="auto"/>
      </w:divBdr>
    </w:div>
    <w:div w:id="1032418378">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34230184">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11426</TotalTime>
  <Pages>3</Pages>
  <Words>883</Words>
  <Characters>4682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347</cp:revision>
  <cp:lastPrinted>2001-04-23T09:30:00Z</cp:lastPrinted>
  <dcterms:created xsi:type="dcterms:W3CDTF">2020-10-15T14:48:00Z</dcterms:created>
  <dcterms:modified xsi:type="dcterms:W3CDTF">2022-02-14T15:04:00Z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